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bookmarkStart w:id="0" w:name="_GoBack"/>
      <w:bookmarkEnd w:id="0"/>
    </w:p>
    <w:p w14:paraId="2DB7D27E" w14:textId="46DF3706"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B368B4">
        <w:rPr>
          <w:b/>
          <w:sz w:val="24"/>
          <w:szCs w:val="24"/>
        </w:rPr>
        <w:t>AH-1901</w:t>
      </w:r>
      <w:r w:rsidRPr="0007631D">
        <w:rPr>
          <w:b/>
          <w:sz w:val="24"/>
          <w:szCs w:val="24"/>
        </w:rPr>
        <w:tab/>
        <w:t>R1-</w:t>
      </w:r>
      <w:r w:rsidR="00313B45">
        <w:rPr>
          <w:b/>
          <w:sz w:val="24"/>
          <w:szCs w:val="24"/>
        </w:rPr>
        <w:t>1</w:t>
      </w:r>
      <w:r w:rsidR="008D73A4">
        <w:rPr>
          <w:b/>
          <w:sz w:val="24"/>
          <w:szCs w:val="24"/>
        </w:rPr>
        <w:t>900897</w:t>
      </w:r>
    </w:p>
    <w:p w14:paraId="1638FDBC" w14:textId="52BC2491" w:rsidR="00B368B4" w:rsidRPr="0007631D" w:rsidRDefault="00B368B4" w:rsidP="00B368B4">
      <w:pPr>
        <w:tabs>
          <w:tab w:val="center" w:pos="4536"/>
          <w:tab w:val="right" w:pos="9072"/>
        </w:tabs>
        <w:spacing w:after="0"/>
        <w:jc w:val="both"/>
        <w:rPr>
          <w:rFonts w:eastAsia="MS Mincho"/>
          <w:b/>
          <w:bCs/>
          <w:sz w:val="24"/>
          <w:szCs w:val="24"/>
          <w:lang w:eastAsia="ja-JP"/>
        </w:rPr>
      </w:pPr>
      <w:r>
        <w:rPr>
          <w:b/>
          <w:bCs/>
          <w:sz w:val="24"/>
          <w:szCs w:val="24"/>
        </w:rPr>
        <w:t>January</w:t>
      </w:r>
      <w:r w:rsidRPr="0007631D">
        <w:rPr>
          <w:b/>
          <w:bCs/>
          <w:sz w:val="24"/>
          <w:szCs w:val="24"/>
        </w:rPr>
        <w:t xml:space="preserve"> </w:t>
      </w:r>
      <w:r>
        <w:rPr>
          <w:b/>
          <w:bCs/>
          <w:sz w:val="24"/>
          <w:szCs w:val="24"/>
        </w:rPr>
        <w:t>21</w:t>
      </w:r>
      <w:r>
        <w:rPr>
          <w:b/>
          <w:bCs/>
          <w:sz w:val="24"/>
          <w:szCs w:val="24"/>
          <w:vertAlign w:val="superscript"/>
        </w:rPr>
        <w:t>st</w:t>
      </w:r>
      <w:r>
        <w:rPr>
          <w:b/>
          <w:bCs/>
          <w:sz w:val="24"/>
          <w:szCs w:val="24"/>
        </w:rPr>
        <w:t xml:space="preserve"> – 25</w:t>
      </w:r>
      <w:r w:rsidRPr="005925C1">
        <w:rPr>
          <w:b/>
          <w:bCs/>
          <w:sz w:val="24"/>
          <w:szCs w:val="24"/>
          <w:vertAlign w:val="superscript"/>
        </w:rPr>
        <w:t>th</w:t>
      </w:r>
      <w:r w:rsidRPr="0007631D">
        <w:rPr>
          <w:b/>
          <w:bCs/>
          <w:sz w:val="24"/>
          <w:szCs w:val="24"/>
        </w:rPr>
        <w:t>, 201</w:t>
      </w:r>
      <w:r>
        <w:rPr>
          <w:rFonts w:eastAsia="MS Mincho"/>
          <w:b/>
          <w:bCs/>
          <w:sz w:val="24"/>
          <w:szCs w:val="24"/>
          <w:lang w:eastAsia="ja-JP"/>
        </w:rPr>
        <w:t>9</w:t>
      </w:r>
    </w:p>
    <w:p w14:paraId="28A9D42B" w14:textId="40D2915D" w:rsidR="00433B47" w:rsidRPr="0007631D" w:rsidRDefault="00B368B4" w:rsidP="00433B47">
      <w:pPr>
        <w:spacing w:after="0"/>
        <w:jc w:val="both"/>
        <w:rPr>
          <w:b/>
          <w:sz w:val="24"/>
          <w:szCs w:val="24"/>
          <w:lang w:eastAsia="zh-CN"/>
        </w:rPr>
      </w:pPr>
      <w:r>
        <w:rPr>
          <w:b/>
          <w:sz w:val="24"/>
          <w:szCs w:val="24"/>
        </w:rPr>
        <w:t>Taipei, Taiwan</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13D77609"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4F50BC">
        <w:rPr>
          <w:b/>
          <w:sz w:val="24"/>
        </w:rPr>
        <w:t>6.1.2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B697452"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4F50BC">
        <w:rPr>
          <w:sz w:val="24"/>
          <w:szCs w:val="24"/>
        </w:rPr>
        <w:t>UCI</w:t>
      </w:r>
      <w:r w:rsidR="00791D19">
        <w:rPr>
          <w:sz w:val="24"/>
          <w:szCs w:val="24"/>
        </w:rPr>
        <w:t xml:space="preserve"> Enhancements</w:t>
      </w:r>
      <w:r w:rsidR="00B368B4">
        <w:rPr>
          <w:sz w:val="24"/>
          <w:szCs w:val="24"/>
        </w:rPr>
        <w:t xml:space="preserve"> for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176D4DC2" w14:textId="47A500E2" w:rsidR="002E0FC2" w:rsidRDefault="009D74D3" w:rsidP="002E0FC2">
      <w:pPr>
        <w:tabs>
          <w:tab w:val="num" w:pos="2880"/>
        </w:tabs>
        <w:jc w:val="both"/>
        <w:rPr>
          <w:rFonts w:asciiTheme="majorBidi" w:hAnsiTheme="majorBidi" w:cstheme="majorBidi"/>
          <w:bCs/>
          <w:szCs w:val="24"/>
        </w:rPr>
      </w:pPr>
      <w:r>
        <w:rPr>
          <w:rFonts w:asciiTheme="majorBidi" w:hAnsiTheme="majorBidi" w:cstheme="majorBidi"/>
          <w:bCs/>
          <w:szCs w:val="24"/>
        </w:rPr>
        <w:t xml:space="preserve">In RAN1#95, it was agreed to allow for reporting </w:t>
      </w:r>
      <w:proofErr w:type="spellStart"/>
      <w:r>
        <w:rPr>
          <w:rFonts w:asciiTheme="majorBidi" w:hAnsiTheme="majorBidi" w:cstheme="majorBidi"/>
          <w:bCs/>
          <w:szCs w:val="24"/>
        </w:rPr>
        <w:t>eURLLC</w:t>
      </w:r>
      <w:proofErr w:type="spellEnd"/>
      <w:r>
        <w:rPr>
          <w:rFonts w:asciiTheme="majorBidi" w:hAnsiTheme="majorBidi" w:cstheme="majorBidi"/>
          <w:bCs/>
          <w:szCs w:val="24"/>
        </w:rPr>
        <w:t xml:space="preserve"> HARQ-ACK in multiple occasions per slot:</w:t>
      </w:r>
    </w:p>
    <w:p w14:paraId="07F490BA" w14:textId="77777777" w:rsidR="00D31F46" w:rsidRPr="009D74D3" w:rsidRDefault="0039002D" w:rsidP="009D74D3">
      <w:pPr>
        <w:tabs>
          <w:tab w:val="num" w:pos="2880"/>
        </w:tabs>
        <w:jc w:val="both"/>
        <w:rPr>
          <w:rFonts w:asciiTheme="majorBidi" w:hAnsiTheme="majorBidi" w:cstheme="majorBidi"/>
          <w:b/>
          <w:bCs/>
          <w:szCs w:val="24"/>
          <w:u w:val="single"/>
        </w:rPr>
      </w:pPr>
      <w:r w:rsidRPr="009D74D3">
        <w:rPr>
          <w:rFonts w:asciiTheme="majorBidi" w:hAnsiTheme="majorBidi" w:cstheme="majorBidi"/>
          <w:b/>
          <w:bCs/>
          <w:szCs w:val="24"/>
          <w:highlight w:val="green"/>
          <w:u w:val="single"/>
          <w:lang w:val="en-GB"/>
        </w:rPr>
        <w:t>Agreements:</w:t>
      </w:r>
    </w:p>
    <w:p w14:paraId="4C60E5F8" w14:textId="25B77305" w:rsidR="00D31F46" w:rsidRPr="009D74D3" w:rsidRDefault="0039002D" w:rsidP="009D74D3">
      <w:pPr>
        <w:pStyle w:val="ListParagraph"/>
        <w:numPr>
          <w:ilvl w:val="0"/>
          <w:numId w:val="14"/>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Multiple PUCCHs for HARQ-ACK within a slot should be supported in R16.</w:t>
      </w:r>
    </w:p>
    <w:p w14:paraId="09C448FB" w14:textId="2721F62C" w:rsidR="009D74D3" w:rsidRDefault="009D74D3" w:rsidP="009D74D3">
      <w:pPr>
        <w:tabs>
          <w:tab w:val="num" w:pos="2880"/>
        </w:tabs>
        <w:jc w:val="both"/>
        <w:rPr>
          <w:rFonts w:asciiTheme="majorBidi" w:hAnsiTheme="majorBidi" w:cstheme="majorBidi"/>
          <w:bCs/>
          <w:szCs w:val="24"/>
        </w:rPr>
      </w:pPr>
    </w:p>
    <w:p w14:paraId="5CEDB7D8" w14:textId="2AFD9FB9" w:rsidR="009D74D3" w:rsidRPr="009D74D3" w:rsidRDefault="009D74D3" w:rsidP="009D74D3">
      <w:pPr>
        <w:tabs>
          <w:tab w:val="num" w:pos="2880"/>
        </w:tabs>
        <w:jc w:val="both"/>
        <w:rPr>
          <w:rFonts w:asciiTheme="majorBidi" w:hAnsiTheme="majorBidi" w:cstheme="majorBidi"/>
          <w:bCs/>
          <w:szCs w:val="24"/>
        </w:rPr>
      </w:pPr>
      <w:r>
        <w:rPr>
          <w:rFonts w:asciiTheme="majorBidi" w:hAnsiTheme="majorBidi" w:cstheme="majorBidi"/>
          <w:bCs/>
          <w:szCs w:val="24"/>
        </w:rPr>
        <w:t xml:space="preserve">Further, based on the following conclusion, the companies are encouraged to report the following details for the proposed solutions: </w:t>
      </w:r>
    </w:p>
    <w:p w14:paraId="3C632FFD" w14:textId="77777777" w:rsidR="00D31F46" w:rsidRPr="009D74D3" w:rsidRDefault="0039002D" w:rsidP="009D74D3">
      <w:pPr>
        <w:tabs>
          <w:tab w:val="num" w:pos="2880"/>
        </w:tabs>
        <w:jc w:val="both"/>
        <w:rPr>
          <w:rFonts w:asciiTheme="majorBidi" w:hAnsiTheme="majorBidi" w:cstheme="majorBidi"/>
          <w:bCs/>
          <w:szCs w:val="24"/>
        </w:rPr>
      </w:pPr>
      <w:r w:rsidRPr="009D74D3">
        <w:rPr>
          <w:rFonts w:asciiTheme="majorBidi" w:hAnsiTheme="majorBidi" w:cstheme="majorBidi"/>
          <w:b/>
          <w:bCs/>
          <w:szCs w:val="24"/>
          <w:highlight w:val="lightGray"/>
          <w:u w:val="single"/>
          <w:lang w:val="en-GB"/>
        </w:rPr>
        <w:t>Conclusion:</w:t>
      </w:r>
    </w:p>
    <w:p w14:paraId="4434CF08" w14:textId="77777777" w:rsidR="00D31F46" w:rsidRPr="009D74D3" w:rsidRDefault="0039002D" w:rsidP="009D74D3">
      <w:pPr>
        <w:pStyle w:val="ListParagraph"/>
        <w:numPr>
          <w:ilvl w:val="0"/>
          <w:numId w:val="14"/>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For supporting multiple PUCCHs for HARQ-ACK within a slot, companies are encouraged to provide following details when proposing a solution:</w:t>
      </w:r>
    </w:p>
    <w:p w14:paraId="38F742BE"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separate HARQ-ACK multiplexing windows for different PUCCHs?</w:t>
      </w:r>
    </w:p>
    <w:p w14:paraId="00C84EE4"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indicate the starting symbol of different PUCCHs?</w:t>
      </w:r>
    </w:p>
    <w:p w14:paraId="1F872878"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 xml:space="preserve">How to indicate K1, e.g. in unit of slot, half-slot, </w:t>
      </w:r>
      <w:proofErr w:type="gramStart"/>
      <w:r w:rsidRPr="009D74D3">
        <w:rPr>
          <w:rFonts w:asciiTheme="majorBidi" w:hAnsiTheme="majorBidi" w:cstheme="majorBidi"/>
          <w:bCs/>
          <w:i/>
          <w:sz w:val="20"/>
          <w:szCs w:val="24"/>
          <w:lang w:val="en-GB"/>
        </w:rPr>
        <w:t>a number of</w:t>
      </w:r>
      <w:proofErr w:type="gramEnd"/>
      <w:r w:rsidRPr="009D74D3">
        <w:rPr>
          <w:rFonts w:asciiTheme="majorBidi" w:hAnsiTheme="majorBidi" w:cstheme="majorBidi"/>
          <w:bCs/>
          <w:i/>
          <w:sz w:val="20"/>
          <w:szCs w:val="24"/>
          <w:lang w:val="en-GB"/>
        </w:rPr>
        <w:t xml:space="preserve"> symbols or symbol?</w:t>
      </w:r>
    </w:p>
    <w:p w14:paraId="1F283A72"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determine dynamic HARQ codebook?</w:t>
      </w:r>
    </w:p>
    <w:p w14:paraId="6556E4E4"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determine semi-static HARQ-ACK codebook?</w:t>
      </w:r>
    </w:p>
    <w:p w14:paraId="5197ED3C"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configure PUCCH resource sets, e.g. reuse R15 PUCCH resource set configurations or not?</w:t>
      </w:r>
    </w:p>
    <w:p w14:paraId="4C74F641"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determine PUCCH resource for each PUCCH?</w:t>
      </w:r>
    </w:p>
    <w:p w14:paraId="3E180530"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do PUCCH resource overriding for HARQ-ACK multiplexing?</w:t>
      </w:r>
    </w:p>
    <w:p w14:paraId="3A8BD9A8"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Maximum number of PUCCH transmissions for HARQ-ACK allowed in a slot?</w:t>
      </w:r>
    </w:p>
    <w:p w14:paraId="201FB758" w14:textId="4A71F132" w:rsidR="009D74D3" w:rsidRDefault="009D74D3" w:rsidP="002E0FC2">
      <w:pPr>
        <w:tabs>
          <w:tab w:val="num" w:pos="2880"/>
        </w:tabs>
        <w:jc w:val="both"/>
        <w:rPr>
          <w:rFonts w:asciiTheme="majorBidi" w:hAnsiTheme="majorBidi" w:cstheme="majorBidi"/>
          <w:bCs/>
          <w:szCs w:val="24"/>
        </w:rPr>
      </w:pPr>
    </w:p>
    <w:p w14:paraId="103EED06" w14:textId="0E2AC8D9" w:rsidR="009D74D3" w:rsidRPr="002E0FC2" w:rsidRDefault="009D74D3" w:rsidP="002E0FC2">
      <w:pPr>
        <w:tabs>
          <w:tab w:val="num" w:pos="2880"/>
        </w:tabs>
        <w:jc w:val="both"/>
        <w:rPr>
          <w:rFonts w:asciiTheme="majorBidi" w:hAnsiTheme="majorBidi" w:cstheme="majorBidi"/>
          <w:bCs/>
          <w:szCs w:val="24"/>
        </w:rPr>
      </w:pPr>
      <w:r>
        <w:rPr>
          <w:rFonts w:asciiTheme="majorBidi" w:hAnsiTheme="majorBidi" w:cstheme="majorBidi"/>
          <w:bCs/>
          <w:szCs w:val="24"/>
        </w:rPr>
        <w:t>In the next section of this paper, we provide detailed responses to the abovementioned questions.</w:t>
      </w:r>
    </w:p>
    <w:p w14:paraId="7011A812" w14:textId="57C7569A" w:rsidR="00C91472" w:rsidRDefault="009D74D3" w:rsidP="003A3006">
      <w:pPr>
        <w:pStyle w:val="Heading1"/>
        <w:jc w:val="both"/>
        <w:rPr>
          <w:rFonts w:ascii="Times New Roman" w:hAnsi="Times New Roman"/>
        </w:rPr>
      </w:pPr>
      <w:r>
        <w:rPr>
          <w:rFonts w:ascii="Times New Roman" w:hAnsi="Times New Roman"/>
        </w:rPr>
        <w:t xml:space="preserve">Solution for Enabling Multiple </w:t>
      </w:r>
      <w:proofErr w:type="spellStart"/>
      <w:r>
        <w:rPr>
          <w:rFonts w:ascii="Times New Roman" w:hAnsi="Times New Roman"/>
        </w:rPr>
        <w:t>eURLLC</w:t>
      </w:r>
      <w:proofErr w:type="spellEnd"/>
      <w:r>
        <w:rPr>
          <w:rFonts w:ascii="Times New Roman" w:hAnsi="Times New Roman"/>
        </w:rPr>
        <w:t xml:space="preserve"> HARQ-ACK Reporting per Slot</w:t>
      </w:r>
    </w:p>
    <w:p w14:paraId="41C10D74" w14:textId="40700367" w:rsidR="007E02A5" w:rsidRPr="00CD5CBA" w:rsidRDefault="00CD5CBA" w:rsidP="003D62F8">
      <w:pPr>
        <w:jc w:val="both"/>
        <w:rPr>
          <w:b/>
          <w:sz w:val="22"/>
          <w:u w:val="single"/>
        </w:rPr>
      </w:pPr>
      <w:r w:rsidRPr="00CD5CBA">
        <w:rPr>
          <w:b/>
          <w:sz w:val="22"/>
          <w:u w:val="single"/>
        </w:rPr>
        <w:t xml:space="preserve">Description </w:t>
      </w:r>
      <w:r w:rsidR="00AB704E">
        <w:rPr>
          <w:b/>
          <w:sz w:val="22"/>
          <w:u w:val="single"/>
        </w:rPr>
        <w:t>of the Proposed S</w:t>
      </w:r>
      <w:r w:rsidRPr="00CD5CBA">
        <w:rPr>
          <w:b/>
          <w:sz w:val="22"/>
          <w:u w:val="single"/>
        </w:rPr>
        <w:t>olution:</w:t>
      </w:r>
    </w:p>
    <w:p w14:paraId="06002E42" w14:textId="3B630D90" w:rsidR="00BE37B3" w:rsidRPr="00CD5CBA" w:rsidRDefault="008D73A4" w:rsidP="00BE37B3">
      <w:pPr>
        <w:spacing w:after="160" w:line="259" w:lineRule="auto"/>
        <w:contextualSpacing/>
        <w:jc w:val="both"/>
        <w:rPr>
          <w:lang w:val="en-GB"/>
        </w:rPr>
      </w:pPr>
      <w:r>
        <w:rPr>
          <w:lang w:val="en-GB"/>
        </w:rPr>
        <w:t>Consider the UE that is configured to</w:t>
      </w:r>
      <w:r w:rsidR="009D74D3" w:rsidRPr="00CD5CBA">
        <w:rPr>
          <w:lang w:val="en-GB"/>
        </w:rPr>
        <w:t xml:space="preserve"> support X number of PUCCH transmissions carrying HARQ-ACK per slot</w:t>
      </w:r>
      <w:r>
        <w:rPr>
          <w:lang w:val="en-GB"/>
        </w:rPr>
        <w:t xml:space="preserve"> for </w:t>
      </w:r>
      <w:proofErr w:type="spellStart"/>
      <w:r>
        <w:rPr>
          <w:lang w:val="en-GB"/>
        </w:rPr>
        <w:t>eURLLC</w:t>
      </w:r>
      <w:proofErr w:type="spellEnd"/>
      <w:r w:rsidR="009D74D3" w:rsidRPr="00CD5CBA">
        <w:rPr>
          <w:lang w:val="en-GB"/>
        </w:rPr>
        <w:t xml:space="preserve">. For this UE, the </w:t>
      </w:r>
      <w:proofErr w:type="spellStart"/>
      <w:r w:rsidR="009D74D3" w:rsidRPr="00CD5CBA">
        <w:rPr>
          <w:lang w:val="en-GB"/>
        </w:rPr>
        <w:t>gNB</w:t>
      </w:r>
      <w:proofErr w:type="spellEnd"/>
      <w:r w:rsidR="009D74D3" w:rsidRPr="00CD5CBA">
        <w:rPr>
          <w:lang w:val="en-GB"/>
        </w:rPr>
        <w:t xml:space="preserve">, semi-statically, splits each </w:t>
      </w:r>
      <w:r w:rsidR="00CD5CBA">
        <w:rPr>
          <w:lang w:val="en-GB"/>
        </w:rPr>
        <w:t>slot into X “virtual” sub-slot (Note that these sub-slots are “virtual”, put no limitation on scheduling, and should not be confused with the sub-slot definition introduced for LTE-</w:t>
      </w:r>
      <w:proofErr w:type="spellStart"/>
      <w:r w:rsidR="00CD5CBA">
        <w:rPr>
          <w:lang w:val="en-GB"/>
        </w:rPr>
        <w:t>sTTI</w:t>
      </w:r>
      <w:proofErr w:type="spellEnd"/>
      <w:r w:rsidR="00CD5CBA">
        <w:rPr>
          <w:lang w:val="en-GB"/>
        </w:rPr>
        <w:t xml:space="preserve">.) </w:t>
      </w:r>
      <w:proofErr w:type="gramStart"/>
      <w:r w:rsidR="00BE37B3">
        <w:rPr>
          <w:lang w:val="en-GB"/>
        </w:rPr>
        <w:t>In particular, i</w:t>
      </w:r>
      <w:r w:rsidR="00BE37B3" w:rsidRPr="00CD5CBA">
        <w:rPr>
          <w:lang w:val="en-GB"/>
        </w:rPr>
        <w:t>n</w:t>
      </w:r>
      <w:proofErr w:type="gramEnd"/>
      <w:r w:rsidR="00BE37B3" w:rsidRPr="00CD5CBA">
        <w:rPr>
          <w:lang w:val="en-GB"/>
        </w:rPr>
        <w:t xml:space="preserve"> terms of PDSCH allocation, there is no limitation as compared to the Rel. 15 approach, i.e., a given PDSCH can start at any symbol and with any length allowed by the mapping </w:t>
      </w:r>
      <w:r>
        <w:rPr>
          <w:lang w:val="en-GB"/>
        </w:rPr>
        <w:t>type</w:t>
      </w:r>
      <w:r w:rsidR="00BE37B3" w:rsidRPr="00CD5CBA">
        <w:rPr>
          <w:lang w:val="en-GB"/>
        </w:rPr>
        <w:t>.</w:t>
      </w:r>
      <w:r w:rsidR="00BE37B3">
        <w:rPr>
          <w:lang w:val="en-GB"/>
        </w:rPr>
        <w:t xml:space="preserve"> </w:t>
      </w:r>
      <w:r w:rsidR="00BE37B3" w:rsidRPr="00CD5CBA">
        <w:rPr>
          <w:lang w:val="en-GB"/>
        </w:rPr>
        <w:t xml:space="preserve">In terms of PUCCH resource configuration, the </w:t>
      </w:r>
      <w:proofErr w:type="spellStart"/>
      <w:r w:rsidR="00BE37B3" w:rsidRPr="00CD5CBA">
        <w:rPr>
          <w:lang w:val="en-GB"/>
        </w:rPr>
        <w:t>gNB</w:t>
      </w:r>
      <w:proofErr w:type="spellEnd"/>
      <w:r w:rsidR="00BE37B3" w:rsidRPr="00CD5CBA">
        <w:rPr>
          <w:lang w:val="en-GB"/>
        </w:rPr>
        <w:t xml:space="preserve"> needs to guarantee that there is at least one PUCCH resource of a proper form</w:t>
      </w:r>
      <w:r>
        <w:rPr>
          <w:lang w:val="en-GB"/>
        </w:rPr>
        <w:t xml:space="preserve">at starting within each </w:t>
      </w:r>
      <w:proofErr w:type="spellStart"/>
      <w:r>
        <w:rPr>
          <w:lang w:val="en-GB"/>
        </w:rPr>
        <w:t>subslot</w:t>
      </w:r>
      <w:proofErr w:type="spellEnd"/>
      <w:r>
        <w:rPr>
          <w:lang w:val="en-GB"/>
        </w:rPr>
        <w:t xml:space="preserve"> (This is also the same as the NR Rel. 15, where each slot needs to have a proper PUCCH resources.)</w:t>
      </w:r>
    </w:p>
    <w:p w14:paraId="0F232B71" w14:textId="257F9562" w:rsidR="009D74D3" w:rsidRPr="00CD5CBA" w:rsidRDefault="00CD5CBA" w:rsidP="00CD5CBA">
      <w:pPr>
        <w:spacing w:after="160" w:line="259" w:lineRule="auto"/>
        <w:contextualSpacing/>
        <w:jc w:val="both"/>
        <w:rPr>
          <w:lang w:val="en-GB"/>
        </w:rPr>
      </w:pPr>
      <w:r>
        <w:rPr>
          <w:lang w:val="en-GB"/>
        </w:rPr>
        <w:lastRenderedPageBreak/>
        <w:t xml:space="preserve">Further, it should be noted that the length of different sub-slots need not be the same; in terms of configuration, the </w:t>
      </w:r>
      <w:proofErr w:type="spellStart"/>
      <w:r>
        <w:rPr>
          <w:lang w:val="en-GB"/>
        </w:rPr>
        <w:t>gNB</w:t>
      </w:r>
      <w:proofErr w:type="spellEnd"/>
      <w:r>
        <w:rPr>
          <w:lang w:val="en-GB"/>
        </w:rPr>
        <w:t xml:space="preserve"> has all the needed flexibility. In addition, i</w:t>
      </w:r>
      <w:r w:rsidR="009D74D3" w:rsidRPr="00CD5CBA">
        <w:rPr>
          <w:lang w:val="en-GB"/>
        </w:rPr>
        <w:t xml:space="preserve">n case of TDD cell and </w:t>
      </w:r>
      <w:r>
        <w:rPr>
          <w:lang w:val="en-GB"/>
        </w:rPr>
        <w:t xml:space="preserve">in </w:t>
      </w:r>
      <w:r w:rsidR="009D74D3" w:rsidRPr="00CD5CBA">
        <w:rPr>
          <w:lang w:val="en-GB"/>
        </w:rPr>
        <w:t>flexible slots, the division accounts for all symbols, but the actual PUCCH transmission can take place only over the uplink portion of the slot.</w:t>
      </w:r>
    </w:p>
    <w:p w14:paraId="244A4BF0" w14:textId="77777777" w:rsidR="00CD5CBA" w:rsidRDefault="00CD5CBA" w:rsidP="00CD5CBA">
      <w:pPr>
        <w:spacing w:after="160" w:line="259" w:lineRule="auto"/>
        <w:contextualSpacing/>
        <w:jc w:val="both"/>
        <w:rPr>
          <w:lang w:val="en-GB"/>
        </w:rPr>
      </w:pPr>
    </w:p>
    <w:p w14:paraId="67DFED86" w14:textId="73C13D9F" w:rsidR="00CD5CBA" w:rsidRDefault="00BE37B3" w:rsidP="00CD5CBA">
      <w:pPr>
        <w:spacing w:after="160" w:line="259" w:lineRule="auto"/>
        <w:contextualSpacing/>
        <w:jc w:val="both"/>
        <w:rPr>
          <w:lang w:val="en-GB"/>
        </w:rPr>
      </w:pPr>
      <w:r w:rsidRPr="00CD5CBA">
        <w:rPr>
          <w:lang w:val="en-GB"/>
        </w:rPr>
        <w:t xml:space="preserve">For codebook </w:t>
      </w:r>
      <w:r w:rsidR="00F15E55">
        <w:rPr>
          <w:lang w:val="en-GB"/>
        </w:rPr>
        <w:t xml:space="preserve">size </w:t>
      </w:r>
      <w:r w:rsidRPr="00CD5CBA">
        <w:rPr>
          <w:lang w:val="en-GB"/>
        </w:rPr>
        <w:t xml:space="preserve">determination, each sub-slot plays the exact role played by slot in Rel. 15 </w:t>
      </w:r>
      <w:r>
        <w:rPr>
          <w:lang w:val="en-GB"/>
        </w:rPr>
        <w:t>for HARQ-ACK codebook determination. Hence, as needed in Rel. 15 NR to determine which PDSCH is in which slot or which PUCCH resource is available in which slot, for the proposed solution, the PDSCH-to-</w:t>
      </w:r>
      <w:proofErr w:type="spellStart"/>
      <w:r>
        <w:rPr>
          <w:lang w:val="en-GB"/>
        </w:rPr>
        <w:t>subslot</w:t>
      </w:r>
      <w:proofErr w:type="spellEnd"/>
      <w:r>
        <w:rPr>
          <w:lang w:val="en-GB"/>
        </w:rPr>
        <w:t xml:space="preserve"> and PUCCH-to-</w:t>
      </w:r>
      <w:proofErr w:type="spellStart"/>
      <w:r>
        <w:rPr>
          <w:lang w:val="en-GB"/>
        </w:rPr>
        <w:t>subslot</w:t>
      </w:r>
      <w:proofErr w:type="spellEnd"/>
      <w:r>
        <w:rPr>
          <w:lang w:val="en-GB"/>
        </w:rPr>
        <w:t xml:space="preserve"> association should be </w:t>
      </w:r>
      <w:r w:rsidR="00A9647F">
        <w:rPr>
          <w:lang w:val="en-GB"/>
        </w:rPr>
        <w:t>determined. The association can be performed as follows:</w:t>
      </w:r>
      <w:r>
        <w:rPr>
          <w:lang w:val="en-GB"/>
        </w:rPr>
        <w:t xml:space="preserve"> </w:t>
      </w:r>
    </w:p>
    <w:p w14:paraId="5765E1EA" w14:textId="77777777" w:rsidR="00336027" w:rsidRDefault="00336027" w:rsidP="00CD5CBA">
      <w:pPr>
        <w:spacing w:after="160" w:line="259" w:lineRule="auto"/>
        <w:contextualSpacing/>
        <w:jc w:val="both"/>
        <w:rPr>
          <w:lang w:val="en-GB"/>
        </w:rPr>
      </w:pPr>
    </w:p>
    <w:p w14:paraId="265FF061" w14:textId="77777777" w:rsidR="001A5C15" w:rsidRPr="00CD5CBA" w:rsidRDefault="001A5C15" w:rsidP="001A5C15">
      <w:pPr>
        <w:spacing w:after="160" w:line="259" w:lineRule="auto"/>
        <w:contextualSpacing/>
        <w:jc w:val="both"/>
        <w:rPr>
          <w:lang w:val="en-GB"/>
        </w:rPr>
      </w:pPr>
      <w:r w:rsidRPr="00CD5CBA">
        <w:rPr>
          <w:lang w:val="en-GB"/>
        </w:rPr>
        <w:t>Since N1 is defined as the gap between the end of the PDSCH to the starting symbol of PDCCH, we define the associations as follows:</w:t>
      </w:r>
    </w:p>
    <w:p w14:paraId="3E21F464" w14:textId="77777777" w:rsidR="001A5C15" w:rsidRPr="001A5C15" w:rsidRDefault="001A5C15" w:rsidP="001A5C15">
      <w:pPr>
        <w:pStyle w:val="ListParagraph"/>
        <w:numPr>
          <w:ilvl w:val="0"/>
          <w:numId w:val="17"/>
        </w:numPr>
        <w:spacing w:after="160" w:line="259" w:lineRule="auto"/>
        <w:contextualSpacing/>
        <w:jc w:val="both"/>
        <w:rPr>
          <w:rFonts w:ascii="Times New Roman" w:hAnsi="Times New Roman"/>
          <w:sz w:val="20"/>
          <w:lang w:val="en-GB"/>
        </w:rPr>
      </w:pPr>
      <w:r w:rsidRPr="001A5C15">
        <w:rPr>
          <w:rFonts w:ascii="Times New Roman" w:hAnsi="Times New Roman"/>
          <w:sz w:val="20"/>
          <w:lang w:val="en-GB"/>
        </w:rPr>
        <w:t>PDSCH j is in sub-slot k if its last symbol is in sub-slot k</w:t>
      </w:r>
    </w:p>
    <w:p w14:paraId="37A98302" w14:textId="77777777" w:rsidR="001A5C15" w:rsidRPr="001A5C15" w:rsidRDefault="001A5C15" w:rsidP="001A5C15">
      <w:pPr>
        <w:pStyle w:val="ListParagraph"/>
        <w:numPr>
          <w:ilvl w:val="0"/>
          <w:numId w:val="17"/>
        </w:numPr>
        <w:spacing w:after="160" w:line="259" w:lineRule="auto"/>
        <w:contextualSpacing/>
        <w:jc w:val="both"/>
        <w:rPr>
          <w:rFonts w:ascii="Times New Roman" w:hAnsi="Times New Roman"/>
          <w:sz w:val="20"/>
          <w:lang w:val="en-GB"/>
        </w:rPr>
      </w:pPr>
      <w:r w:rsidRPr="001A5C15">
        <w:rPr>
          <w:rFonts w:ascii="Times New Roman" w:hAnsi="Times New Roman"/>
          <w:sz w:val="20"/>
          <w:lang w:val="en-GB"/>
        </w:rPr>
        <w:t>PUCCH j is in sub-slot k if its starting symbol is in sub-slot k</w:t>
      </w:r>
    </w:p>
    <w:p w14:paraId="27DF5388" w14:textId="5AD657BB" w:rsidR="00CD5CBA" w:rsidRPr="001A5C15" w:rsidRDefault="001A5C15" w:rsidP="00CD5CBA">
      <w:pPr>
        <w:pStyle w:val="ListParagraph"/>
        <w:numPr>
          <w:ilvl w:val="0"/>
          <w:numId w:val="17"/>
        </w:numPr>
        <w:spacing w:after="160" w:line="259" w:lineRule="auto"/>
        <w:contextualSpacing/>
        <w:jc w:val="both"/>
        <w:rPr>
          <w:rFonts w:ascii="Times New Roman" w:hAnsi="Times New Roman"/>
          <w:sz w:val="20"/>
          <w:lang w:val="en-GB"/>
        </w:rPr>
      </w:pPr>
      <w:r w:rsidRPr="001A5C15">
        <w:rPr>
          <w:rFonts w:ascii="Times New Roman" w:hAnsi="Times New Roman"/>
          <w:sz w:val="20"/>
          <w:lang w:val="en-GB"/>
        </w:rPr>
        <w:t xml:space="preserve">Note: X number of sub-slot are configured per slot of the UL </w:t>
      </w:r>
      <w:proofErr w:type="spellStart"/>
      <w:r w:rsidRPr="001A5C15">
        <w:rPr>
          <w:rFonts w:ascii="Times New Roman" w:hAnsi="Times New Roman"/>
          <w:sz w:val="20"/>
          <w:lang w:val="en-GB"/>
        </w:rPr>
        <w:t>Pcell</w:t>
      </w:r>
      <w:proofErr w:type="spellEnd"/>
      <w:r w:rsidRPr="001A5C15">
        <w:rPr>
          <w:rFonts w:ascii="Times New Roman" w:hAnsi="Times New Roman"/>
          <w:sz w:val="20"/>
          <w:lang w:val="en-GB"/>
        </w:rPr>
        <w:t>. The configuration also includes the boundaries of the sub-slot in terms of the SCS of the UL BWP where HARQ-ACK is sent. Then, for all DL CCs, regardless of their SCS, the PDSCH to sub-slot association is performed by considering the UL sub-slot configuration.</w:t>
      </w:r>
      <w:r>
        <w:rPr>
          <w:rFonts w:ascii="Times New Roman" w:hAnsi="Times New Roman"/>
          <w:sz w:val="20"/>
          <w:lang w:val="en-GB"/>
        </w:rPr>
        <w:t xml:space="preserve"> An example is illustrated in Figure 1.</w:t>
      </w:r>
    </w:p>
    <w:p w14:paraId="4C8E94FD" w14:textId="77777777" w:rsidR="001A5C15" w:rsidRDefault="00CD5CBA" w:rsidP="001A5C15">
      <w:pPr>
        <w:keepNext/>
        <w:jc w:val="center"/>
      </w:pPr>
      <w:r>
        <w:rPr>
          <w:lang w:val="en-GB"/>
        </w:rPr>
        <w:object w:dxaOrig="15255" w:dyaOrig="18886" w14:anchorId="0BC9D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5pt;height:376.7pt" o:ole="">
            <v:imagedata r:id="rId12" o:title=""/>
          </v:shape>
          <o:OLEObject Type="Embed" ProgID="Visio.Drawing.15" ShapeID="_x0000_i1025" DrawAspect="Content" ObjectID="_1608741696" r:id="rId13"/>
        </w:object>
      </w:r>
    </w:p>
    <w:p w14:paraId="5BD0865C" w14:textId="7B64D33B" w:rsidR="009D74D3" w:rsidRDefault="001A5C15" w:rsidP="001A5C15">
      <w:pPr>
        <w:pStyle w:val="Caption"/>
        <w:jc w:val="center"/>
        <w:rPr>
          <w:lang w:val="en-GB"/>
        </w:rPr>
      </w:pPr>
      <w:r>
        <w:t xml:space="preserve">Figure </w:t>
      </w:r>
      <w:r w:rsidR="00A464E8">
        <w:fldChar w:fldCharType="begin"/>
      </w:r>
      <w:r w:rsidR="00A464E8">
        <w:instrText xml:space="preserve"> SEQ Figure \* ARABIC </w:instrText>
      </w:r>
      <w:r w:rsidR="00A464E8">
        <w:fldChar w:fldCharType="separate"/>
      </w:r>
      <w:r>
        <w:rPr>
          <w:noProof/>
        </w:rPr>
        <w:t>1</w:t>
      </w:r>
      <w:r w:rsidR="00A464E8">
        <w:rPr>
          <w:noProof/>
        </w:rPr>
        <w:fldChar w:fldCharType="end"/>
      </w:r>
      <w:r>
        <w:t>: PDSCH-to-</w:t>
      </w:r>
      <w:proofErr w:type="spellStart"/>
      <w:r>
        <w:t>subslot</w:t>
      </w:r>
      <w:proofErr w:type="spellEnd"/>
      <w:r>
        <w:t xml:space="preserve"> and PUCCH-to-</w:t>
      </w:r>
      <w:proofErr w:type="spellStart"/>
      <w:r>
        <w:t>subslot</w:t>
      </w:r>
      <w:proofErr w:type="spellEnd"/>
      <w:r>
        <w:t xml:space="preserve"> association under the proposed solution.</w:t>
      </w:r>
    </w:p>
    <w:p w14:paraId="00646C7F" w14:textId="01A3A71A" w:rsidR="001A5C15" w:rsidRDefault="001A5C15" w:rsidP="009D74D3">
      <w:pPr>
        <w:jc w:val="both"/>
        <w:rPr>
          <w:lang w:val="en-GB"/>
        </w:rPr>
      </w:pPr>
    </w:p>
    <w:p w14:paraId="7E4E4471" w14:textId="0250DF29" w:rsidR="00BB53C2" w:rsidRDefault="00BB53C2" w:rsidP="009D74D3">
      <w:pPr>
        <w:jc w:val="both"/>
        <w:rPr>
          <w:lang w:val="en-GB"/>
        </w:rPr>
      </w:pPr>
      <w:r w:rsidRPr="00276E80">
        <w:rPr>
          <w:b/>
          <w:lang w:val="en-GB"/>
        </w:rPr>
        <w:t xml:space="preserve">Proposal 1: </w:t>
      </w:r>
      <w:r w:rsidR="00094399">
        <w:rPr>
          <w:b/>
          <w:lang w:val="en-GB"/>
        </w:rPr>
        <w:t xml:space="preserve">For Rel. 16 </w:t>
      </w:r>
      <w:proofErr w:type="spellStart"/>
      <w:r w:rsidR="00094399">
        <w:rPr>
          <w:b/>
          <w:lang w:val="en-GB"/>
        </w:rPr>
        <w:t>eURLLC</w:t>
      </w:r>
      <w:proofErr w:type="spellEnd"/>
      <w:r w:rsidR="00094399">
        <w:rPr>
          <w:b/>
          <w:lang w:val="en-GB"/>
        </w:rPr>
        <w:t xml:space="preserve"> HARQ-ACK reporting</w:t>
      </w:r>
      <w:r w:rsidR="004A4DB1">
        <w:rPr>
          <w:b/>
          <w:lang w:val="en-GB"/>
        </w:rPr>
        <w:t xml:space="preserve"> with X PUCCHs per slot</w:t>
      </w:r>
      <w:r w:rsidR="00094399">
        <w:rPr>
          <w:b/>
          <w:lang w:val="en-GB"/>
        </w:rPr>
        <w:t xml:space="preserve">, </w:t>
      </w:r>
      <w:r w:rsidR="00336027">
        <w:rPr>
          <w:b/>
          <w:lang w:val="en-GB"/>
        </w:rPr>
        <w:t>semi-statically, split</w:t>
      </w:r>
      <w:r w:rsidR="00094399" w:rsidRPr="004A4DB1">
        <w:rPr>
          <w:b/>
          <w:lang w:val="en-GB"/>
        </w:rPr>
        <w:t xml:space="preserve"> each slot into X “virtual” sub-slot</w:t>
      </w:r>
      <w:r w:rsidR="00336027">
        <w:rPr>
          <w:b/>
          <w:lang w:val="en-GB"/>
        </w:rPr>
        <w:t>s</w:t>
      </w:r>
      <w:r w:rsidR="004A4DB1">
        <w:rPr>
          <w:lang w:val="en-GB"/>
        </w:rPr>
        <w:t>.</w:t>
      </w:r>
      <w:r w:rsidRPr="004A4DB1">
        <w:rPr>
          <w:lang w:val="en-GB"/>
        </w:rPr>
        <w:t xml:space="preserve"> </w:t>
      </w:r>
    </w:p>
    <w:p w14:paraId="2ACF087F" w14:textId="7A90AA0F" w:rsidR="004A4DB1" w:rsidRPr="004A4DB1" w:rsidRDefault="004A4DB1" w:rsidP="009D74D3">
      <w:pPr>
        <w:jc w:val="both"/>
        <w:rPr>
          <w:b/>
          <w:lang w:val="en-GB"/>
        </w:rPr>
      </w:pPr>
      <w:r w:rsidRPr="004A4DB1">
        <w:rPr>
          <w:b/>
          <w:lang w:val="en-GB"/>
        </w:rPr>
        <w:t xml:space="preserve">Proposal 2: When the </w:t>
      </w:r>
      <w:proofErr w:type="spellStart"/>
      <w:r w:rsidRPr="004A4DB1">
        <w:rPr>
          <w:b/>
          <w:lang w:val="en-GB"/>
        </w:rPr>
        <w:t>subslots</w:t>
      </w:r>
      <w:proofErr w:type="spellEnd"/>
      <w:r w:rsidRPr="004A4DB1">
        <w:rPr>
          <w:b/>
          <w:lang w:val="en-GB"/>
        </w:rPr>
        <w:t xml:space="preserve"> are configured, </w:t>
      </w:r>
      <w:r w:rsidR="00336027">
        <w:rPr>
          <w:b/>
          <w:lang w:val="en-GB"/>
        </w:rPr>
        <w:t>the UE assumes</w:t>
      </w:r>
      <w:r w:rsidRPr="004A4DB1">
        <w:rPr>
          <w:b/>
          <w:lang w:val="en-GB"/>
        </w:rPr>
        <w:t>:</w:t>
      </w:r>
    </w:p>
    <w:p w14:paraId="19D6EFE5" w14:textId="77777777" w:rsidR="004A4DB1" w:rsidRPr="004A4DB1" w:rsidRDefault="004A4DB1" w:rsidP="004A4DB1">
      <w:pPr>
        <w:pStyle w:val="ListParagraph"/>
        <w:numPr>
          <w:ilvl w:val="0"/>
          <w:numId w:val="17"/>
        </w:numPr>
        <w:spacing w:after="160" w:line="259" w:lineRule="auto"/>
        <w:contextualSpacing/>
        <w:jc w:val="both"/>
        <w:rPr>
          <w:rFonts w:ascii="Times New Roman" w:hAnsi="Times New Roman"/>
          <w:b/>
          <w:sz w:val="20"/>
          <w:lang w:val="en-GB"/>
        </w:rPr>
      </w:pPr>
      <w:r w:rsidRPr="004A4DB1">
        <w:rPr>
          <w:rFonts w:ascii="Times New Roman" w:hAnsi="Times New Roman"/>
          <w:b/>
          <w:sz w:val="20"/>
          <w:lang w:val="en-GB"/>
        </w:rPr>
        <w:t>PDSCH j is in sub-slot k if its last symbol is in sub-slot k</w:t>
      </w:r>
    </w:p>
    <w:p w14:paraId="13540881" w14:textId="643EFD53" w:rsidR="004A4DB1" w:rsidRPr="004A4DB1" w:rsidRDefault="004A4DB1" w:rsidP="009D74D3">
      <w:pPr>
        <w:pStyle w:val="ListParagraph"/>
        <w:numPr>
          <w:ilvl w:val="0"/>
          <w:numId w:val="17"/>
        </w:numPr>
        <w:spacing w:after="160" w:line="259" w:lineRule="auto"/>
        <w:contextualSpacing/>
        <w:jc w:val="both"/>
        <w:rPr>
          <w:rFonts w:ascii="Times New Roman" w:hAnsi="Times New Roman"/>
          <w:b/>
          <w:sz w:val="20"/>
          <w:lang w:val="en-GB"/>
        </w:rPr>
      </w:pPr>
      <w:r w:rsidRPr="004A4DB1">
        <w:rPr>
          <w:rFonts w:ascii="Times New Roman" w:hAnsi="Times New Roman"/>
          <w:b/>
          <w:sz w:val="20"/>
          <w:lang w:val="en-GB"/>
        </w:rPr>
        <w:t>PUCCH j is in sub-slot k if its starting symbol is in sub-slot k</w:t>
      </w:r>
    </w:p>
    <w:p w14:paraId="47CB53A0" w14:textId="3CACF016" w:rsidR="004C1D36" w:rsidRDefault="004C1D36" w:rsidP="001A5C15">
      <w:pPr>
        <w:spacing w:after="160" w:line="259" w:lineRule="auto"/>
        <w:contextualSpacing/>
        <w:jc w:val="both"/>
        <w:rPr>
          <w:lang w:val="en-GB"/>
        </w:rPr>
      </w:pPr>
      <w:r>
        <w:rPr>
          <w:lang w:val="en-GB"/>
        </w:rPr>
        <w:t xml:space="preserve">The last parameter to set before explaining the details of type-1 and type-2 codebook </w:t>
      </w:r>
      <w:r w:rsidR="00336027">
        <w:rPr>
          <w:lang w:val="en-GB"/>
        </w:rPr>
        <w:t xml:space="preserve">size </w:t>
      </w:r>
      <w:r>
        <w:rPr>
          <w:lang w:val="en-GB"/>
        </w:rPr>
        <w:t xml:space="preserve">determination schemes is </w:t>
      </w:r>
      <w:r w:rsidR="001A5C15" w:rsidRPr="00CD5CBA">
        <w:rPr>
          <w:lang w:val="en-GB"/>
        </w:rPr>
        <w:t>K1</w:t>
      </w:r>
      <w:r w:rsidR="00336027">
        <w:rPr>
          <w:lang w:val="en-GB"/>
        </w:rPr>
        <w:t>. As mentioned earlier, each</w:t>
      </w:r>
      <w:r>
        <w:rPr>
          <w:lang w:val="en-GB"/>
        </w:rPr>
        <w:t xml:space="preserve"> virtual </w:t>
      </w:r>
      <w:proofErr w:type="spellStart"/>
      <w:r>
        <w:rPr>
          <w:lang w:val="en-GB"/>
        </w:rPr>
        <w:t>subslot</w:t>
      </w:r>
      <w:proofErr w:type="spellEnd"/>
      <w:r>
        <w:rPr>
          <w:lang w:val="en-GB"/>
        </w:rPr>
        <w:t xml:space="preserve"> plays the exact role of slot in Rel. 15 NR for codebook size determination. Now, in Rel. 15, the granularity of K1 is at slot level. Thus, for the proposed solution, the granularity of K1 for </w:t>
      </w:r>
      <w:proofErr w:type="spellStart"/>
      <w:r>
        <w:rPr>
          <w:lang w:val="en-GB"/>
        </w:rPr>
        <w:t>eURLLC</w:t>
      </w:r>
      <w:proofErr w:type="spellEnd"/>
      <w:r>
        <w:rPr>
          <w:lang w:val="en-GB"/>
        </w:rPr>
        <w:t xml:space="preserve"> codebook size</w:t>
      </w:r>
      <w:r w:rsidR="00336027">
        <w:rPr>
          <w:lang w:val="en-GB"/>
        </w:rPr>
        <w:t xml:space="preserve"> </w:t>
      </w:r>
      <w:r>
        <w:rPr>
          <w:lang w:val="en-GB"/>
        </w:rPr>
        <w:t>determination</w:t>
      </w:r>
      <w:r w:rsidR="001A5C15" w:rsidRPr="00CD5CBA">
        <w:rPr>
          <w:lang w:val="en-GB"/>
        </w:rPr>
        <w:t xml:space="preserve"> </w:t>
      </w:r>
      <w:r>
        <w:rPr>
          <w:lang w:val="en-GB"/>
        </w:rPr>
        <w:t xml:space="preserve">is at </w:t>
      </w:r>
      <w:proofErr w:type="spellStart"/>
      <w:r>
        <w:rPr>
          <w:lang w:val="en-GB"/>
        </w:rPr>
        <w:t>subslot</w:t>
      </w:r>
      <w:proofErr w:type="spellEnd"/>
      <w:r>
        <w:rPr>
          <w:lang w:val="en-GB"/>
        </w:rPr>
        <w:t xml:space="preserve"> level</w:t>
      </w:r>
      <w:r w:rsidR="001A5C15" w:rsidRPr="00CD5CBA">
        <w:rPr>
          <w:lang w:val="en-GB"/>
        </w:rPr>
        <w:t>.</w:t>
      </w:r>
    </w:p>
    <w:p w14:paraId="19AA3C12" w14:textId="32CF2DF8" w:rsidR="004A4DB1" w:rsidRDefault="004A4DB1" w:rsidP="001A5C15">
      <w:pPr>
        <w:spacing w:after="160" w:line="259" w:lineRule="auto"/>
        <w:contextualSpacing/>
        <w:jc w:val="both"/>
        <w:rPr>
          <w:lang w:val="en-GB"/>
        </w:rPr>
      </w:pPr>
    </w:p>
    <w:p w14:paraId="51235C1C" w14:textId="1EE116C6" w:rsidR="004A4DB1" w:rsidRPr="004A4DB1" w:rsidRDefault="004A4DB1" w:rsidP="001A5C15">
      <w:pPr>
        <w:spacing w:after="160" w:line="259" w:lineRule="auto"/>
        <w:contextualSpacing/>
        <w:jc w:val="both"/>
        <w:rPr>
          <w:b/>
          <w:lang w:val="en-GB"/>
        </w:rPr>
      </w:pPr>
      <w:r w:rsidRPr="004A4DB1">
        <w:rPr>
          <w:b/>
          <w:lang w:val="en-GB"/>
        </w:rPr>
        <w:t xml:space="preserve">Proposal 3: K1 for </w:t>
      </w:r>
      <w:proofErr w:type="spellStart"/>
      <w:r w:rsidRPr="004A4DB1">
        <w:rPr>
          <w:b/>
          <w:lang w:val="en-GB"/>
        </w:rPr>
        <w:t>eURLLC</w:t>
      </w:r>
      <w:proofErr w:type="spellEnd"/>
      <w:r w:rsidRPr="004A4DB1">
        <w:rPr>
          <w:b/>
          <w:lang w:val="en-GB"/>
        </w:rPr>
        <w:t xml:space="preserve"> HARQ-ACK reporting is indicated in the unit of </w:t>
      </w:r>
      <w:r w:rsidR="00207733">
        <w:rPr>
          <w:b/>
          <w:lang w:val="en-GB"/>
        </w:rPr>
        <w:t>sub</w:t>
      </w:r>
      <w:r w:rsidRPr="004A4DB1">
        <w:rPr>
          <w:b/>
          <w:lang w:val="en-GB"/>
        </w:rPr>
        <w:t>-slot.</w:t>
      </w:r>
    </w:p>
    <w:p w14:paraId="27A2E389" w14:textId="32A6E5D1" w:rsidR="001A5C15" w:rsidRPr="00CD5CBA" w:rsidRDefault="001A5C15" w:rsidP="001A5C15">
      <w:pPr>
        <w:spacing w:after="160" w:line="259" w:lineRule="auto"/>
        <w:contextualSpacing/>
        <w:jc w:val="both"/>
        <w:rPr>
          <w:lang w:val="en-GB"/>
        </w:rPr>
      </w:pPr>
      <w:r w:rsidRPr="00CD5CBA">
        <w:rPr>
          <w:lang w:val="en-GB"/>
        </w:rPr>
        <w:t xml:space="preserve">  </w:t>
      </w:r>
    </w:p>
    <w:p w14:paraId="6C18E373" w14:textId="319512B4" w:rsidR="009D74D3" w:rsidRDefault="004C1D36" w:rsidP="009D74D3">
      <w:pPr>
        <w:jc w:val="both"/>
        <w:rPr>
          <w:lang w:val="en-GB"/>
        </w:rPr>
      </w:pPr>
      <w:r>
        <w:rPr>
          <w:lang w:val="en-GB"/>
        </w:rPr>
        <w:t>One final note is that h</w:t>
      </w:r>
      <w:r w:rsidR="009D74D3" w:rsidRPr="00EE4C25">
        <w:rPr>
          <w:lang w:val="en-GB"/>
        </w:rPr>
        <w:t xml:space="preserve">ere, for codebook </w:t>
      </w:r>
      <w:r>
        <w:rPr>
          <w:lang w:val="en-GB"/>
        </w:rPr>
        <w:t xml:space="preserve">size </w:t>
      </w:r>
      <w:r w:rsidR="009D74D3" w:rsidRPr="00EE4C25">
        <w:rPr>
          <w:lang w:val="en-GB"/>
        </w:rPr>
        <w:t xml:space="preserve">determination, we assume that </w:t>
      </w:r>
      <w:proofErr w:type="spellStart"/>
      <w:r w:rsidR="009D74D3" w:rsidRPr="00EE4C25">
        <w:rPr>
          <w:lang w:val="en-GB"/>
        </w:rPr>
        <w:t>eURLLC</w:t>
      </w:r>
      <w:proofErr w:type="spellEnd"/>
      <w:r w:rsidR="009D74D3" w:rsidRPr="00EE4C25">
        <w:rPr>
          <w:lang w:val="en-GB"/>
        </w:rPr>
        <w:t xml:space="preserve"> PDSCH can be differentiated from the </w:t>
      </w:r>
      <w:proofErr w:type="spellStart"/>
      <w:r w:rsidR="009D74D3" w:rsidRPr="00EE4C25">
        <w:rPr>
          <w:lang w:val="en-GB"/>
        </w:rPr>
        <w:t>eMBB</w:t>
      </w:r>
      <w:proofErr w:type="spellEnd"/>
      <w:r w:rsidR="009D74D3" w:rsidRPr="00EE4C25">
        <w:rPr>
          <w:lang w:val="en-GB"/>
        </w:rPr>
        <w:t xml:space="preserve"> PDSCH</w:t>
      </w:r>
      <w:r w:rsidR="00AB704E">
        <w:rPr>
          <w:lang w:val="en-GB"/>
        </w:rPr>
        <w:t xml:space="preserve"> at the PHY layer. Similarly</w:t>
      </w:r>
      <w:r w:rsidR="009D74D3" w:rsidRPr="00EE4C25">
        <w:rPr>
          <w:lang w:val="en-GB"/>
        </w:rPr>
        <w:t xml:space="preserve">, we assume that </w:t>
      </w:r>
      <w:proofErr w:type="spellStart"/>
      <w:r w:rsidR="009D74D3" w:rsidRPr="00EE4C25">
        <w:rPr>
          <w:lang w:val="en-GB"/>
        </w:rPr>
        <w:t>eURLLC</w:t>
      </w:r>
      <w:proofErr w:type="spellEnd"/>
      <w:r w:rsidR="009D74D3" w:rsidRPr="00EE4C25">
        <w:rPr>
          <w:lang w:val="en-GB"/>
        </w:rPr>
        <w:t xml:space="preserve"> has a separate set of PUCCH resource sets and PUCCH resources configured for it.</w:t>
      </w:r>
    </w:p>
    <w:p w14:paraId="3EFB4CD2" w14:textId="28997B83" w:rsidR="004A4DB1" w:rsidRPr="004A4DB1" w:rsidRDefault="004A4DB1" w:rsidP="009D74D3">
      <w:pPr>
        <w:jc w:val="both"/>
        <w:rPr>
          <w:b/>
          <w:lang w:val="en-GB"/>
        </w:rPr>
      </w:pPr>
      <w:r w:rsidRPr="004A4DB1">
        <w:rPr>
          <w:b/>
          <w:lang w:val="en-GB"/>
        </w:rPr>
        <w:t xml:space="preserve">Proposal 4: Support PHY-layer differentiation between PDSCH and PUCCH </w:t>
      </w:r>
      <w:r>
        <w:rPr>
          <w:b/>
          <w:lang w:val="en-GB"/>
        </w:rPr>
        <w:t xml:space="preserve">associated with different </w:t>
      </w:r>
      <w:r w:rsidRPr="004A4DB1">
        <w:rPr>
          <w:b/>
          <w:lang w:val="en-GB"/>
        </w:rPr>
        <w:t>traffic types</w:t>
      </w:r>
      <w:r>
        <w:rPr>
          <w:b/>
          <w:lang w:val="en-GB"/>
        </w:rPr>
        <w:t>.</w:t>
      </w:r>
      <w:r w:rsidRPr="004A4DB1">
        <w:rPr>
          <w:b/>
          <w:lang w:val="en-GB"/>
        </w:rPr>
        <w:t xml:space="preserve"> </w:t>
      </w:r>
    </w:p>
    <w:p w14:paraId="2A563384" w14:textId="1BF6A8C2" w:rsidR="00831BF2" w:rsidRDefault="00831BF2" w:rsidP="009D74D3">
      <w:pPr>
        <w:jc w:val="both"/>
        <w:rPr>
          <w:lang w:val="en-GB"/>
        </w:rPr>
      </w:pPr>
      <w:r>
        <w:rPr>
          <w:lang w:val="en-GB"/>
        </w:rPr>
        <w:t xml:space="preserve">In the remainder of this section, we present how the proposed solution can be applied to type-1 and type-2 codebook size determination. As it will become evident, after the virtual </w:t>
      </w:r>
      <w:proofErr w:type="spellStart"/>
      <w:r>
        <w:rPr>
          <w:lang w:val="en-GB"/>
        </w:rPr>
        <w:t>subslots</w:t>
      </w:r>
      <w:proofErr w:type="spellEnd"/>
      <w:r>
        <w:rPr>
          <w:lang w:val="en-GB"/>
        </w:rPr>
        <w:t xml:space="preserve"> are defined, the pr</w:t>
      </w:r>
      <w:r w:rsidR="00164256">
        <w:rPr>
          <w:lang w:val="en-GB"/>
        </w:rPr>
        <w:t xml:space="preserve">ocedures are </w:t>
      </w:r>
      <w:proofErr w:type="gramStart"/>
      <w:r w:rsidR="00164256">
        <w:rPr>
          <w:lang w:val="en-GB"/>
        </w:rPr>
        <w:t>exactly the same</w:t>
      </w:r>
      <w:proofErr w:type="gramEnd"/>
      <w:r w:rsidR="00164256">
        <w:rPr>
          <w:lang w:val="en-GB"/>
        </w:rPr>
        <w:t xml:space="preserve"> a</w:t>
      </w:r>
      <w:r>
        <w:rPr>
          <w:lang w:val="en-GB"/>
        </w:rPr>
        <w:t xml:space="preserve">s those of the Rel. 15 NR. </w:t>
      </w:r>
    </w:p>
    <w:p w14:paraId="79C4BE6A" w14:textId="03317544" w:rsidR="009D74D3" w:rsidRDefault="00B70DEB" w:rsidP="003D62F8">
      <w:pPr>
        <w:jc w:val="both"/>
        <w:rPr>
          <w:b/>
          <w:sz w:val="22"/>
          <w:u w:val="single"/>
        </w:rPr>
      </w:pPr>
      <w:r>
        <w:rPr>
          <w:b/>
          <w:sz w:val="22"/>
          <w:u w:val="single"/>
        </w:rPr>
        <w:t>Proposed Solution for Type-1 Codebook S</w:t>
      </w:r>
      <w:r w:rsidR="00AB704E">
        <w:rPr>
          <w:b/>
          <w:sz w:val="22"/>
          <w:u w:val="single"/>
        </w:rPr>
        <w:t>ize Determination</w:t>
      </w:r>
      <w:r w:rsidR="00AB704E" w:rsidRPr="00CD5CBA">
        <w:rPr>
          <w:b/>
          <w:sz w:val="22"/>
          <w:u w:val="single"/>
        </w:rPr>
        <w:t>:</w:t>
      </w:r>
    </w:p>
    <w:p w14:paraId="1B6C76A4" w14:textId="4C9A7DC1" w:rsidR="001A15E4" w:rsidRPr="001A15E4" w:rsidRDefault="001A15E4" w:rsidP="003D62F8">
      <w:pPr>
        <w:jc w:val="both"/>
      </w:pPr>
      <w:proofErr w:type="gramStart"/>
      <w:r w:rsidRPr="001A15E4">
        <w:t xml:space="preserve">Similar </w:t>
      </w:r>
      <w:r>
        <w:t>to</w:t>
      </w:r>
      <w:proofErr w:type="gramEnd"/>
      <w:r>
        <w:t xml:space="preserve"> NR Rel. 15, the type-1 codebook size determination is based on the “PDSCH occasions”. The size can be determined by following the steps below:</w:t>
      </w:r>
    </w:p>
    <w:p w14:paraId="503371C3" w14:textId="7313F7D2" w:rsidR="00AB704E" w:rsidRPr="001A15E4"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For determining the codebook size for the PUCCH to be sen</w:t>
      </w:r>
      <w:r w:rsidR="001A15E4">
        <w:rPr>
          <w:rFonts w:ascii="Times New Roman" w:hAnsi="Times New Roman"/>
          <w:sz w:val="20"/>
          <w:lang w:val="en-GB"/>
        </w:rPr>
        <w:t>t</w:t>
      </w:r>
      <w:r w:rsidRPr="001A15E4">
        <w:rPr>
          <w:rFonts w:ascii="Times New Roman" w:hAnsi="Times New Roman"/>
          <w:sz w:val="20"/>
          <w:lang w:val="en-GB"/>
        </w:rPr>
        <w:t xml:space="preserve"> in sub-slot n, the UE considers the set of K1 values configured for the UL BWP (in units of sub-slots.)</w:t>
      </w:r>
    </w:p>
    <w:p w14:paraId="60A0249F" w14:textId="77777777" w:rsidR="00AB704E" w:rsidRPr="001A15E4"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 xml:space="preserve">For a given K1 value, the UE considers all the PDSCH occasions associated with sub-slot n-K1 using a TDRA table configured for </w:t>
      </w:r>
      <w:proofErr w:type="spellStart"/>
      <w:r w:rsidRPr="001A15E4">
        <w:rPr>
          <w:rFonts w:ascii="Times New Roman" w:hAnsi="Times New Roman"/>
          <w:sz w:val="20"/>
          <w:lang w:val="en-GB"/>
        </w:rPr>
        <w:t>eURLLC</w:t>
      </w:r>
      <w:proofErr w:type="spellEnd"/>
      <w:r w:rsidRPr="001A15E4">
        <w:rPr>
          <w:rFonts w:ascii="Times New Roman" w:hAnsi="Times New Roman"/>
          <w:sz w:val="20"/>
          <w:lang w:val="en-GB"/>
        </w:rPr>
        <w:t>.</w:t>
      </w:r>
    </w:p>
    <w:p w14:paraId="7AA9DF58" w14:textId="77777777" w:rsidR="00AB704E" w:rsidRPr="001A15E4"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Within the set of occasions, the UE removes the occasions that conflicts with the DL/UL configuration.</w:t>
      </w:r>
    </w:p>
    <w:p w14:paraId="61EA2F46" w14:textId="6B4F27F4" w:rsidR="00AB704E" w:rsidRPr="001A15E4"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Then</w:t>
      </w:r>
      <w:r w:rsidR="001A15E4">
        <w:rPr>
          <w:rFonts w:ascii="Times New Roman" w:hAnsi="Times New Roman"/>
          <w:sz w:val="20"/>
          <w:lang w:val="en-GB"/>
        </w:rPr>
        <w:t>, the UE</w:t>
      </w:r>
      <w:r w:rsidRPr="001A15E4">
        <w:rPr>
          <w:rFonts w:ascii="Times New Roman" w:hAnsi="Times New Roman"/>
          <w:sz w:val="20"/>
          <w:lang w:val="en-GB"/>
        </w:rPr>
        <w:t xml:space="preserve"> partition</w:t>
      </w:r>
      <w:r w:rsidR="001A15E4">
        <w:rPr>
          <w:rFonts w:ascii="Times New Roman" w:hAnsi="Times New Roman"/>
          <w:sz w:val="20"/>
          <w:lang w:val="en-GB"/>
        </w:rPr>
        <w:t>s</w:t>
      </w:r>
      <w:r w:rsidRPr="001A15E4">
        <w:rPr>
          <w:rFonts w:ascii="Times New Roman" w:hAnsi="Times New Roman"/>
          <w:sz w:val="20"/>
          <w:lang w:val="en-GB"/>
        </w:rPr>
        <w:t xml:space="preserve"> the remaining occasions into subgroups as follows:</w:t>
      </w:r>
    </w:p>
    <w:p w14:paraId="70247774"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rPr>
      </w:pPr>
      <w:r w:rsidRPr="001A15E4">
        <w:rPr>
          <w:rFonts w:ascii="Times New Roman" w:hAnsi="Times New Roman"/>
          <w:sz w:val="20"/>
        </w:rPr>
        <w:t>Set m to be smallest last OFDM symbol index for all TDRA candidates</w:t>
      </w:r>
    </w:p>
    <w:p w14:paraId="420793FA"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rPr>
      </w:pPr>
      <w:r w:rsidRPr="001A15E4">
        <w:rPr>
          <w:rFonts w:ascii="Times New Roman" w:hAnsi="Times New Roman"/>
          <w:sz w:val="20"/>
        </w:rPr>
        <w:t xml:space="preserve">Loop over all TDRA candidates </w:t>
      </w:r>
      <m:oMath>
        <m:r>
          <w:rPr>
            <w:rFonts w:ascii="Cambria Math" w:hAnsi="Cambria Math"/>
            <w:sz w:val="20"/>
          </w:rPr>
          <m:t>r</m:t>
        </m:r>
      </m:oMath>
      <w:r w:rsidRPr="001A15E4">
        <w:rPr>
          <w:rFonts w:ascii="Times New Roman" w:hAnsi="Times New Roman"/>
          <w:sz w:val="20"/>
        </w:rPr>
        <w:t xml:space="preserve"> </w:t>
      </w:r>
    </w:p>
    <w:p w14:paraId="37C4BAF5"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rPr>
      </w:pPr>
      <w:r w:rsidRPr="001A15E4">
        <w:rPr>
          <w:rFonts w:ascii="Times New Roman" w:hAnsi="Times New Roman"/>
          <w:sz w:val="20"/>
        </w:rPr>
        <w:t>If candidate starts no later than OFDM symbol m</w:t>
      </w:r>
    </w:p>
    <w:p w14:paraId="11451A61" w14:textId="77777777" w:rsidR="00AB704E" w:rsidRPr="001A15E4" w:rsidRDefault="00AB704E" w:rsidP="001A15E4">
      <w:pPr>
        <w:pStyle w:val="ListParagraph"/>
        <w:numPr>
          <w:ilvl w:val="2"/>
          <w:numId w:val="18"/>
        </w:numPr>
        <w:spacing w:after="160" w:line="259" w:lineRule="auto"/>
        <w:contextualSpacing/>
        <w:jc w:val="both"/>
        <w:rPr>
          <w:rFonts w:ascii="Times New Roman" w:hAnsi="Times New Roman"/>
          <w:sz w:val="20"/>
        </w:rPr>
      </w:pPr>
      <w:r w:rsidRPr="001A15E4">
        <w:rPr>
          <w:rFonts w:ascii="Times New Roman" w:hAnsi="Times New Roman"/>
          <w:sz w:val="20"/>
        </w:rPr>
        <w:t xml:space="preserve">Put the TDRA candidate into group </w:t>
      </w:r>
      <m:oMath>
        <m:r>
          <w:rPr>
            <w:rFonts w:ascii="Cambria Math" w:hAnsi="Cambria Math"/>
            <w:sz w:val="20"/>
          </w:rPr>
          <m:t>j</m:t>
        </m:r>
      </m:oMath>
      <w:r w:rsidRPr="001A15E4">
        <w:rPr>
          <w:rFonts w:ascii="Times New Roman" w:hAnsi="Times New Roman"/>
          <w:sz w:val="20"/>
        </w:rPr>
        <w:t xml:space="preserve"> </w:t>
      </w:r>
    </w:p>
    <w:p w14:paraId="2311B8C2"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rPr>
      </w:pPr>
      <w:r w:rsidRPr="001A15E4">
        <w:rPr>
          <w:rFonts w:ascii="Times New Roman" w:hAnsi="Times New Roman"/>
          <w:sz w:val="20"/>
        </w:rPr>
        <w:t xml:space="preserve">Remove TDRA candidate </w:t>
      </w:r>
      <m:oMath>
        <m:r>
          <w:rPr>
            <w:rFonts w:ascii="Cambria Math" w:hAnsi="Cambria Math"/>
            <w:sz w:val="20"/>
          </w:rPr>
          <m:t>r</m:t>
        </m:r>
      </m:oMath>
      <w:r w:rsidRPr="001A15E4">
        <w:rPr>
          <w:rFonts w:ascii="Times New Roman" w:hAnsi="Times New Roman"/>
          <w:sz w:val="20"/>
        </w:rPr>
        <w:t xml:space="preserve"> </w:t>
      </w:r>
    </w:p>
    <w:p w14:paraId="79E9A2D2"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Consider one HARQ-ACK bit for the formed group.</w:t>
      </w:r>
    </w:p>
    <w:p w14:paraId="131842E9" w14:textId="6335BADB" w:rsidR="00AB704E" w:rsidRDefault="00AB704E" w:rsidP="001A15E4">
      <w:pPr>
        <w:pStyle w:val="ListParagraph"/>
        <w:numPr>
          <w:ilvl w:val="1"/>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 xml:space="preserve">Continue the above steps until all the occasions associated with sub-slot n-K1 are consumed. </w:t>
      </w:r>
    </w:p>
    <w:p w14:paraId="1F4E53F4" w14:textId="5F2ED11D" w:rsidR="004A4DB1" w:rsidRPr="004A4DB1" w:rsidRDefault="004A4DB1" w:rsidP="004A4DB1">
      <w:pPr>
        <w:spacing w:after="160" w:line="259" w:lineRule="auto"/>
        <w:contextualSpacing/>
        <w:jc w:val="both"/>
        <w:rPr>
          <w:b/>
          <w:lang w:val="en-GB"/>
        </w:rPr>
      </w:pPr>
      <w:r>
        <w:rPr>
          <w:b/>
          <w:lang w:val="en-GB"/>
        </w:rPr>
        <w:t>Proposal 5</w:t>
      </w:r>
      <w:r w:rsidRPr="004A4DB1">
        <w:rPr>
          <w:b/>
          <w:lang w:val="en-GB"/>
        </w:rPr>
        <w:t xml:space="preserve">: For </w:t>
      </w:r>
      <w:r w:rsidR="00423748">
        <w:rPr>
          <w:b/>
          <w:lang w:val="en-GB"/>
        </w:rPr>
        <w:t xml:space="preserve">the </w:t>
      </w:r>
      <w:r w:rsidRPr="004A4DB1">
        <w:rPr>
          <w:b/>
          <w:lang w:val="en-GB"/>
        </w:rPr>
        <w:t xml:space="preserve">type-1 codebook size determination, follow the NR Rel. 15 approach for PUCCH transmission carrying HARQ-ACK in a given </w:t>
      </w:r>
      <w:proofErr w:type="spellStart"/>
      <w:r w:rsidRPr="004A4DB1">
        <w:rPr>
          <w:b/>
          <w:lang w:val="en-GB"/>
        </w:rPr>
        <w:t>subslot</w:t>
      </w:r>
      <w:proofErr w:type="spellEnd"/>
      <w:r w:rsidRPr="004A4DB1">
        <w:rPr>
          <w:b/>
          <w:lang w:val="en-GB"/>
        </w:rPr>
        <w:t>.</w:t>
      </w:r>
    </w:p>
    <w:p w14:paraId="5F4E850D" w14:textId="77777777" w:rsidR="004A4DB1" w:rsidRPr="004A4DB1" w:rsidRDefault="004A4DB1" w:rsidP="004A4DB1">
      <w:pPr>
        <w:spacing w:after="160" w:line="259" w:lineRule="auto"/>
        <w:contextualSpacing/>
        <w:jc w:val="both"/>
        <w:rPr>
          <w:lang w:val="en-GB"/>
        </w:rPr>
      </w:pPr>
    </w:p>
    <w:p w14:paraId="5A093CBE" w14:textId="69172B66" w:rsidR="00CF38BC" w:rsidRPr="00CF38BC" w:rsidRDefault="00CF38BC" w:rsidP="00CF38BC">
      <w:pPr>
        <w:jc w:val="both"/>
        <w:rPr>
          <w:b/>
          <w:sz w:val="22"/>
          <w:u w:val="single"/>
        </w:rPr>
      </w:pPr>
      <w:r>
        <w:rPr>
          <w:b/>
          <w:sz w:val="22"/>
          <w:u w:val="single"/>
        </w:rPr>
        <w:t>Proposed Solution for Type-2</w:t>
      </w:r>
      <w:r w:rsidRPr="00CF38BC">
        <w:rPr>
          <w:b/>
          <w:sz w:val="22"/>
          <w:u w:val="single"/>
        </w:rPr>
        <w:t xml:space="preserve"> Codebook Size Determination:</w:t>
      </w:r>
    </w:p>
    <w:p w14:paraId="4D7A6015" w14:textId="69CDDED7" w:rsidR="001A15E4" w:rsidRPr="001A15E4" w:rsidRDefault="001A15E4" w:rsidP="001A15E4">
      <w:pPr>
        <w:spacing w:after="160" w:line="259" w:lineRule="auto"/>
        <w:contextualSpacing/>
        <w:jc w:val="both"/>
        <w:rPr>
          <w:lang w:val="en-GB"/>
        </w:rPr>
      </w:pPr>
      <w:proofErr w:type="gramStart"/>
      <w:r w:rsidRPr="001A15E4">
        <w:rPr>
          <w:lang w:val="en-GB"/>
        </w:rPr>
        <w:t>Similar to</w:t>
      </w:r>
      <w:proofErr w:type="gramEnd"/>
      <w:r w:rsidRPr="001A15E4">
        <w:rPr>
          <w:lang w:val="en-GB"/>
        </w:rPr>
        <w:t xml:space="preserve"> NR Rel. 15 procedure, </w:t>
      </w:r>
      <w:r>
        <w:rPr>
          <w:lang w:val="en-GB"/>
        </w:rPr>
        <w:t>the type-2 codebook size determination is</w:t>
      </w:r>
      <w:r w:rsidRPr="001A15E4">
        <w:rPr>
          <w:lang w:val="en-GB"/>
        </w:rPr>
        <w:t xml:space="preserve"> based on the PDCCH </w:t>
      </w:r>
      <w:r w:rsidR="008D4F02">
        <w:rPr>
          <w:lang w:val="en-GB"/>
        </w:rPr>
        <w:t xml:space="preserve">monitoring </w:t>
      </w:r>
      <w:r w:rsidRPr="001A15E4">
        <w:rPr>
          <w:lang w:val="en-GB"/>
        </w:rPr>
        <w:t xml:space="preserve">occasions and DAI received in </w:t>
      </w:r>
      <w:r>
        <w:rPr>
          <w:lang w:val="en-GB"/>
        </w:rPr>
        <w:t xml:space="preserve">the </w:t>
      </w:r>
      <w:r w:rsidRPr="001A15E4">
        <w:rPr>
          <w:lang w:val="en-GB"/>
        </w:rPr>
        <w:t>DCI.</w:t>
      </w:r>
      <w:r>
        <w:rPr>
          <w:lang w:val="en-GB"/>
        </w:rPr>
        <w:t xml:space="preserve"> The size can be determined by following the steps below:</w:t>
      </w:r>
    </w:p>
    <w:p w14:paraId="6AC4E5FC" w14:textId="71D367D7" w:rsidR="001A15E4" w:rsidRPr="001A15E4" w:rsidRDefault="001A15E4" w:rsidP="001A15E4">
      <w:pPr>
        <w:pStyle w:val="ListParagraph"/>
        <w:numPr>
          <w:ilvl w:val="0"/>
          <w:numId w:val="19"/>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For determining the codebo</w:t>
      </w:r>
      <w:r>
        <w:rPr>
          <w:rFonts w:ascii="Times New Roman" w:hAnsi="Times New Roman"/>
          <w:sz w:val="20"/>
          <w:lang w:val="en-GB"/>
        </w:rPr>
        <w:t>ok size for the PUCCH to be sent</w:t>
      </w:r>
      <w:r w:rsidRPr="001A15E4">
        <w:rPr>
          <w:rFonts w:ascii="Times New Roman" w:hAnsi="Times New Roman"/>
          <w:sz w:val="20"/>
          <w:lang w:val="en-GB"/>
        </w:rPr>
        <w:t xml:space="preserve"> in sub-slot n, the UE considers the max. K1 value configured for the UL BWP (in units of sub-slots.)</w:t>
      </w:r>
    </w:p>
    <w:p w14:paraId="1EB7E504" w14:textId="629E2C20" w:rsidR="001A15E4" w:rsidRPr="001A15E4" w:rsidRDefault="001A15E4" w:rsidP="001A15E4">
      <w:pPr>
        <w:pStyle w:val="ListParagraph"/>
        <w:numPr>
          <w:ilvl w:val="0"/>
          <w:numId w:val="19"/>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 xml:space="preserve">Then, the UE runs through the sub-slots </w:t>
      </w:r>
      <w:r>
        <w:rPr>
          <w:rFonts w:ascii="Times New Roman" w:hAnsi="Times New Roman"/>
          <w:sz w:val="20"/>
          <w:lang w:val="en-GB"/>
        </w:rPr>
        <w:t>[</w:t>
      </w:r>
      <w:r w:rsidRPr="001A15E4">
        <w:rPr>
          <w:rFonts w:ascii="Times New Roman" w:hAnsi="Times New Roman"/>
          <w:sz w:val="20"/>
          <w:lang w:val="en-GB"/>
        </w:rPr>
        <w:t>n-K</w:t>
      </w:r>
      <w:proofErr w:type="gramStart"/>
      <w:r w:rsidRPr="001A15E4">
        <w:rPr>
          <w:rFonts w:ascii="Times New Roman" w:hAnsi="Times New Roman"/>
          <w:sz w:val="20"/>
          <w:lang w:val="en-GB"/>
        </w:rPr>
        <w:t>1,max</w:t>
      </w:r>
      <w:r>
        <w:rPr>
          <w:rFonts w:ascii="Times New Roman" w:hAnsi="Times New Roman"/>
          <w:sz w:val="20"/>
          <w:lang w:val="en-GB"/>
        </w:rPr>
        <w:t>,…</w:t>
      </w:r>
      <w:proofErr w:type="gramEnd"/>
      <w:r>
        <w:rPr>
          <w:rFonts w:ascii="Times New Roman" w:hAnsi="Times New Roman"/>
          <w:sz w:val="20"/>
          <w:lang w:val="en-GB"/>
        </w:rPr>
        <w:t xml:space="preserve">, </w:t>
      </w:r>
      <w:r w:rsidRPr="001A15E4">
        <w:rPr>
          <w:rFonts w:ascii="Times New Roman" w:hAnsi="Times New Roman"/>
          <w:sz w:val="20"/>
          <w:lang w:val="en-GB"/>
        </w:rPr>
        <w:t>n</w:t>
      </w:r>
      <w:r>
        <w:rPr>
          <w:rFonts w:ascii="Times New Roman" w:hAnsi="Times New Roman"/>
          <w:sz w:val="20"/>
          <w:lang w:val="en-GB"/>
        </w:rPr>
        <w:t>]</w:t>
      </w:r>
      <w:r w:rsidRPr="001A15E4">
        <w:rPr>
          <w:rFonts w:ascii="Times New Roman" w:hAnsi="Times New Roman"/>
          <w:sz w:val="20"/>
          <w:lang w:val="en-GB"/>
        </w:rPr>
        <w:t xml:space="preserve">, and determines the codebook size by relying on </w:t>
      </w:r>
      <w:r>
        <w:rPr>
          <w:rFonts w:ascii="Times New Roman" w:hAnsi="Times New Roman"/>
          <w:sz w:val="20"/>
          <w:lang w:val="en-GB"/>
        </w:rPr>
        <w:t xml:space="preserve">the </w:t>
      </w:r>
      <w:r w:rsidRPr="001A15E4">
        <w:rPr>
          <w:rFonts w:ascii="Times New Roman" w:hAnsi="Times New Roman"/>
          <w:sz w:val="20"/>
          <w:lang w:val="en-GB"/>
        </w:rPr>
        <w:t xml:space="preserve">counter DAI and total DAI received for </w:t>
      </w:r>
      <w:proofErr w:type="spellStart"/>
      <w:r w:rsidRPr="001A15E4">
        <w:rPr>
          <w:rFonts w:ascii="Times New Roman" w:hAnsi="Times New Roman"/>
          <w:sz w:val="20"/>
          <w:lang w:val="en-GB"/>
        </w:rPr>
        <w:t>eURLLC</w:t>
      </w:r>
      <w:proofErr w:type="spellEnd"/>
      <w:r w:rsidRPr="001A15E4">
        <w:rPr>
          <w:rFonts w:ascii="Times New Roman" w:hAnsi="Times New Roman"/>
          <w:sz w:val="20"/>
          <w:lang w:val="en-GB"/>
        </w:rPr>
        <w:t xml:space="preserve"> operation. </w:t>
      </w:r>
    </w:p>
    <w:p w14:paraId="64932C72" w14:textId="2E051D3F" w:rsidR="004A4DB1" w:rsidRPr="004A4DB1" w:rsidRDefault="004A4DB1" w:rsidP="004A4DB1">
      <w:pPr>
        <w:spacing w:after="160" w:line="259" w:lineRule="auto"/>
        <w:contextualSpacing/>
        <w:jc w:val="both"/>
        <w:rPr>
          <w:b/>
          <w:lang w:val="en-GB"/>
        </w:rPr>
      </w:pPr>
      <w:r>
        <w:rPr>
          <w:b/>
          <w:lang w:val="en-GB"/>
        </w:rPr>
        <w:t>Proposal 6: For type-2</w:t>
      </w:r>
      <w:r w:rsidRPr="004A4DB1">
        <w:rPr>
          <w:b/>
          <w:lang w:val="en-GB"/>
        </w:rPr>
        <w:t xml:space="preserve"> codebook size determination, follow the NR Rel. 15 approach for PUCCH transmission carrying HARQ-ACK in a given </w:t>
      </w:r>
      <w:proofErr w:type="spellStart"/>
      <w:r w:rsidRPr="004A4DB1">
        <w:rPr>
          <w:b/>
          <w:lang w:val="en-GB"/>
        </w:rPr>
        <w:t>subslot</w:t>
      </w:r>
      <w:proofErr w:type="spellEnd"/>
      <w:r w:rsidRPr="004A4DB1">
        <w:rPr>
          <w:b/>
          <w:lang w:val="en-GB"/>
        </w:rPr>
        <w:t>.</w:t>
      </w:r>
    </w:p>
    <w:p w14:paraId="1EFCE65E" w14:textId="77777777" w:rsidR="00AB704E" w:rsidRPr="00AB704E" w:rsidRDefault="00AB704E" w:rsidP="003D62F8">
      <w:pPr>
        <w:jc w:val="both"/>
      </w:pPr>
    </w:p>
    <w:p w14:paraId="5732E75B" w14:textId="44B5A090" w:rsidR="00553608" w:rsidRDefault="00991071" w:rsidP="00A80978">
      <w:pPr>
        <w:pStyle w:val="Heading1"/>
        <w:pBdr>
          <w:top w:val="single" w:sz="12" w:space="0" w:color="auto"/>
        </w:pBdr>
        <w:jc w:val="both"/>
        <w:rPr>
          <w:rFonts w:ascii="Times New Roman" w:hAnsi="Times New Roman"/>
        </w:rPr>
      </w:pPr>
      <w:r>
        <w:rPr>
          <w:rFonts w:ascii="Times New Roman" w:hAnsi="Times New Roman"/>
        </w:rPr>
        <w:t xml:space="preserve">Responses to the Questions </w:t>
      </w:r>
    </w:p>
    <w:p w14:paraId="4591D178" w14:textId="4888CA3C" w:rsidR="00D12D06" w:rsidRPr="00991071" w:rsidRDefault="00991071" w:rsidP="00991071">
      <w:pPr>
        <w:pStyle w:val="Caption"/>
        <w:rPr>
          <w:rFonts w:asciiTheme="majorBidi" w:hAnsiTheme="majorBidi" w:cstheme="majorBidi"/>
          <w:b w:val="0"/>
          <w:bCs w:val="0"/>
          <w:sz w:val="22"/>
          <w:szCs w:val="24"/>
        </w:rPr>
      </w:pPr>
      <w:r w:rsidRPr="00991071">
        <w:rPr>
          <w:b w:val="0"/>
        </w:rPr>
        <w:t xml:space="preserve">In this section, we respond to the remaining questions </w:t>
      </w:r>
      <w:r w:rsidR="00F1745D">
        <w:rPr>
          <w:b w:val="0"/>
        </w:rPr>
        <w:t>from the RAN1 #95 conclusion:</w:t>
      </w:r>
    </w:p>
    <w:p w14:paraId="1DB07D3D" w14:textId="77777777" w:rsidR="00F1745D" w:rsidRDefault="00F1745D" w:rsidP="00F1745D">
      <w:pPr>
        <w:jc w:val="both"/>
        <w:rPr>
          <w:b/>
          <w:u w:val="single"/>
          <w:lang w:val="en-GB"/>
        </w:rPr>
      </w:pPr>
      <w:r w:rsidRPr="006C5CCE">
        <w:rPr>
          <w:b/>
          <w:u w:val="single"/>
          <w:lang w:val="en-GB"/>
        </w:rPr>
        <w:t>Responses:</w:t>
      </w:r>
    </w:p>
    <w:p w14:paraId="16C15F96"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separate HARQ-ACK multiplexing windows for different PUCCHs?</w:t>
      </w:r>
    </w:p>
    <w:p w14:paraId="137CA97A" w14:textId="4B8AB05B"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t>Explained in the preceding section.</w:t>
      </w:r>
    </w:p>
    <w:p w14:paraId="307E78B3"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indicate the starting symbol of different PUCCHs?</w:t>
      </w:r>
    </w:p>
    <w:p w14:paraId="7EE93A86" w14:textId="50911456"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t xml:space="preserve">For </w:t>
      </w:r>
      <w:proofErr w:type="spellStart"/>
      <w:r w:rsidRPr="00F1745D">
        <w:rPr>
          <w:lang w:val="en-GB"/>
        </w:rPr>
        <w:t>eURLLC</w:t>
      </w:r>
      <w:proofErr w:type="spellEnd"/>
      <w:r w:rsidRPr="00F1745D">
        <w:rPr>
          <w:lang w:val="en-GB"/>
        </w:rPr>
        <w:t xml:space="preserve">, </w:t>
      </w:r>
      <w:r w:rsidR="008D4F02">
        <w:rPr>
          <w:lang w:val="en-GB"/>
        </w:rPr>
        <w:t xml:space="preserve">it is more efficient to configure </w:t>
      </w:r>
      <w:r w:rsidRPr="00F1745D">
        <w:rPr>
          <w:lang w:val="en-GB"/>
        </w:rPr>
        <w:t xml:space="preserve">a separate pool of resources (resource sets and resources per set). </w:t>
      </w:r>
      <w:proofErr w:type="gramStart"/>
      <w:r w:rsidRPr="00F1745D">
        <w:rPr>
          <w:lang w:val="en-GB"/>
        </w:rPr>
        <w:t>Similar to</w:t>
      </w:r>
      <w:proofErr w:type="gramEnd"/>
      <w:r w:rsidRPr="00F1745D">
        <w:rPr>
          <w:lang w:val="en-GB"/>
        </w:rPr>
        <w:t xml:space="preserve"> the NR Rel. 15, the starting symbol of each PUCCH resource is configured by RRC.</w:t>
      </w:r>
    </w:p>
    <w:p w14:paraId="54771C2B"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 xml:space="preserve">How to indicate K1, e.g. in unit of slot, half-slot, </w:t>
      </w:r>
      <w:proofErr w:type="gramStart"/>
      <w:r w:rsidRPr="00F1745D">
        <w:rPr>
          <w:b/>
          <w:lang w:val="en-GB"/>
        </w:rPr>
        <w:t>a number of</w:t>
      </w:r>
      <w:proofErr w:type="gramEnd"/>
      <w:r w:rsidRPr="00F1745D">
        <w:rPr>
          <w:b/>
          <w:lang w:val="en-GB"/>
        </w:rPr>
        <w:t xml:space="preserve"> symbols or symbol?</w:t>
      </w:r>
    </w:p>
    <w:p w14:paraId="78807044" w14:textId="5E9FF367"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t xml:space="preserve">In units of sub-slots. The number of sub-slots per slot is dependent on the number of HARQ-ACK reports per slot for </w:t>
      </w:r>
      <w:proofErr w:type="spellStart"/>
      <w:r w:rsidRPr="00F1745D">
        <w:rPr>
          <w:lang w:val="en-GB"/>
        </w:rPr>
        <w:t>eURLLC</w:t>
      </w:r>
      <w:proofErr w:type="spellEnd"/>
      <w:r w:rsidRPr="00F1745D">
        <w:rPr>
          <w:lang w:val="en-GB"/>
        </w:rPr>
        <w:t>.</w:t>
      </w:r>
    </w:p>
    <w:p w14:paraId="725FC7F4"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determine dynamic HARQ codebook?</w:t>
      </w:r>
    </w:p>
    <w:p w14:paraId="5F86C12B" w14:textId="2EED2738"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t xml:space="preserve">Explained </w:t>
      </w:r>
      <w:r w:rsidR="008D4F02">
        <w:rPr>
          <w:lang w:val="en-GB"/>
        </w:rPr>
        <w:t>in the preceding section</w:t>
      </w:r>
      <w:r w:rsidRPr="00F1745D">
        <w:rPr>
          <w:lang w:val="en-GB"/>
        </w:rPr>
        <w:t>.</w:t>
      </w:r>
    </w:p>
    <w:p w14:paraId="4FAD6D41"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determine semi-static HARQ-ACK codebook?</w:t>
      </w:r>
    </w:p>
    <w:p w14:paraId="4B454043" w14:textId="27163DD2" w:rsidR="00F1745D" w:rsidRPr="00F1745D" w:rsidRDefault="008D4F02" w:rsidP="00F1745D">
      <w:pPr>
        <w:numPr>
          <w:ilvl w:val="1"/>
          <w:numId w:val="20"/>
        </w:numPr>
        <w:overflowPunct/>
        <w:autoSpaceDE/>
        <w:autoSpaceDN/>
        <w:adjustRightInd/>
        <w:spacing w:after="160" w:line="259" w:lineRule="auto"/>
        <w:jc w:val="both"/>
        <w:textAlignment w:val="auto"/>
      </w:pPr>
      <w:r>
        <w:rPr>
          <w:lang w:val="en-GB"/>
        </w:rPr>
        <w:t>Explained in the preceding section</w:t>
      </w:r>
      <w:r w:rsidR="00F1745D" w:rsidRPr="00F1745D">
        <w:rPr>
          <w:lang w:val="en-GB"/>
        </w:rPr>
        <w:t>.</w:t>
      </w:r>
    </w:p>
    <w:p w14:paraId="3ABF2886"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configure PUCCH resource sets, e.g. reuse R15 PUCCH resource set configurations or not?</w:t>
      </w:r>
    </w:p>
    <w:p w14:paraId="528282E2" w14:textId="1C8AC490" w:rsidR="00F1745D" w:rsidRPr="00F1745D" w:rsidRDefault="0019617D" w:rsidP="00F1745D">
      <w:pPr>
        <w:numPr>
          <w:ilvl w:val="1"/>
          <w:numId w:val="20"/>
        </w:numPr>
        <w:overflowPunct/>
        <w:autoSpaceDE/>
        <w:autoSpaceDN/>
        <w:adjustRightInd/>
        <w:spacing w:after="160" w:line="259" w:lineRule="auto"/>
        <w:jc w:val="both"/>
        <w:textAlignment w:val="auto"/>
      </w:pPr>
      <w:r>
        <w:rPr>
          <w:lang w:val="en-GB"/>
        </w:rPr>
        <w:t xml:space="preserve">Separate PUCCH resource and PUCCH resource sets may be configured for </w:t>
      </w:r>
      <w:proofErr w:type="spellStart"/>
      <w:r>
        <w:rPr>
          <w:lang w:val="en-GB"/>
        </w:rPr>
        <w:t>eURLLC</w:t>
      </w:r>
      <w:proofErr w:type="spellEnd"/>
      <w:r>
        <w:rPr>
          <w:lang w:val="en-GB"/>
        </w:rPr>
        <w:t xml:space="preserve">. </w:t>
      </w:r>
      <w:r w:rsidR="00F1745D" w:rsidRPr="00F1745D">
        <w:rPr>
          <w:lang w:val="en-GB"/>
        </w:rPr>
        <w:t>The same PUCCH resource set configuration procedure as that of NR Rel. 15</w:t>
      </w:r>
      <w:r>
        <w:rPr>
          <w:lang w:val="en-GB"/>
        </w:rPr>
        <w:t xml:space="preserve"> can be used</w:t>
      </w:r>
      <w:r w:rsidR="00F1745D" w:rsidRPr="00F1745D">
        <w:rPr>
          <w:lang w:val="en-GB"/>
        </w:rPr>
        <w:t xml:space="preserve">. </w:t>
      </w:r>
      <w:proofErr w:type="gramStart"/>
      <w:r>
        <w:rPr>
          <w:lang w:val="en-GB"/>
        </w:rPr>
        <w:t>In particular, t</w:t>
      </w:r>
      <w:r w:rsidR="00402E3D">
        <w:rPr>
          <w:lang w:val="en-GB"/>
        </w:rPr>
        <w:t>he</w:t>
      </w:r>
      <w:proofErr w:type="gramEnd"/>
      <w:r w:rsidR="00402E3D">
        <w:rPr>
          <w:lang w:val="en-GB"/>
        </w:rPr>
        <w:t xml:space="preserve"> maximum of four resource sets with a number of resources per set can be configured for </w:t>
      </w:r>
      <w:proofErr w:type="spellStart"/>
      <w:r w:rsidR="00402E3D">
        <w:rPr>
          <w:lang w:val="en-GB"/>
        </w:rPr>
        <w:t>eURLLC</w:t>
      </w:r>
      <w:proofErr w:type="spellEnd"/>
      <w:r>
        <w:rPr>
          <w:lang w:val="en-GB"/>
        </w:rPr>
        <w:t xml:space="preserve">. </w:t>
      </w:r>
    </w:p>
    <w:p w14:paraId="73E3E8A6"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determine PUCCH resource for each PUCCH?</w:t>
      </w:r>
    </w:p>
    <w:p w14:paraId="09610C43" w14:textId="164B1A3C"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t xml:space="preserve">The resource set is determined based on the payload size. The PRI in the last DL DCI is used to select one PUCCH resource in a given set </w:t>
      </w:r>
      <w:r w:rsidR="00DA7108">
        <w:rPr>
          <w:lang w:val="en-GB"/>
        </w:rPr>
        <w:t>if the number of resources is no more than 8. Otherwise, besides PRI, the number of CCEs forming the CORESET where the DCI is detected and the index of the first CCE are also used for resource selection within the determined set.</w:t>
      </w:r>
      <w:r w:rsidR="0019617D">
        <w:rPr>
          <w:lang w:val="en-GB"/>
        </w:rPr>
        <w:t xml:space="preserve"> </w:t>
      </w:r>
    </w:p>
    <w:p w14:paraId="6B2025CD"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do PUCCH resource overriding for HARQ-ACK multiplexing?</w:t>
      </w:r>
    </w:p>
    <w:p w14:paraId="4B5723E8" w14:textId="28239C04" w:rsidR="00F1745D" w:rsidRPr="00F1745D" w:rsidRDefault="00DA7108" w:rsidP="00F1745D">
      <w:pPr>
        <w:numPr>
          <w:ilvl w:val="1"/>
          <w:numId w:val="20"/>
        </w:numPr>
        <w:overflowPunct/>
        <w:autoSpaceDE/>
        <w:autoSpaceDN/>
        <w:adjustRightInd/>
        <w:spacing w:after="160" w:line="259" w:lineRule="auto"/>
        <w:jc w:val="both"/>
        <w:textAlignment w:val="auto"/>
      </w:pPr>
      <w:r>
        <w:rPr>
          <w:lang w:val="en-GB"/>
        </w:rPr>
        <w:t xml:space="preserve">As explained in response to Question 7, the last DCI whose HARQ-ACK is mapped to PUCCH in </w:t>
      </w:r>
      <w:proofErr w:type="spellStart"/>
      <w:r>
        <w:rPr>
          <w:lang w:val="en-GB"/>
        </w:rPr>
        <w:t>subslot</w:t>
      </w:r>
      <w:proofErr w:type="spellEnd"/>
      <w:r>
        <w:rPr>
          <w:lang w:val="en-GB"/>
        </w:rPr>
        <w:t xml:space="preserve"> k of slot n determines the PRI.</w:t>
      </w:r>
    </w:p>
    <w:p w14:paraId="69094DA0" w14:textId="77777777" w:rsidR="00F1745D" w:rsidRPr="00F1745D" w:rsidRDefault="00F1745D" w:rsidP="00F1745D">
      <w:pPr>
        <w:pStyle w:val="ListParagraph"/>
        <w:numPr>
          <w:ilvl w:val="0"/>
          <w:numId w:val="20"/>
        </w:numPr>
        <w:spacing w:after="160" w:line="259" w:lineRule="auto"/>
        <w:contextualSpacing/>
        <w:jc w:val="both"/>
        <w:rPr>
          <w:rFonts w:ascii="Times New Roman" w:hAnsi="Times New Roman"/>
          <w:b/>
          <w:sz w:val="20"/>
          <w:szCs w:val="20"/>
          <w:lang w:val="en-GB"/>
        </w:rPr>
      </w:pPr>
      <w:r w:rsidRPr="00F1745D">
        <w:rPr>
          <w:rFonts w:ascii="Times New Roman" w:hAnsi="Times New Roman"/>
          <w:b/>
          <w:sz w:val="20"/>
          <w:szCs w:val="20"/>
          <w:lang w:val="en-GB"/>
        </w:rPr>
        <w:t>Maximum number of PUCCH transmissions for HARQ-ACK allowed in a slot?</w:t>
      </w:r>
    </w:p>
    <w:p w14:paraId="15DC0283" w14:textId="2E84EFAE" w:rsidR="00007571" w:rsidRPr="00F1745D" w:rsidRDefault="00F1745D" w:rsidP="0046208A">
      <w:pPr>
        <w:numPr>
          <w:ilvl w:val="1"/>
          <w:numId w:val="20"/>
        </w:numPr>
        <w:overflowPunct/>
        <w:autoSpaceDE/>
        <w:autoSpaceDN/>
        <w:adjustRightInd/>
        <w:spacing w:after="160" w:line="259" w:lineRule="auto"/>
        <w:jc w:val="both"/>
        <w:textAlignment w:val="auto"/>
        <w:rPr>
          <w:b/>
          <w:szCs w:val="24"/>
          <w:lang w:val="en-GB"/>
        </w:rPr>
      </w:pPr>
      <w:r w:rsidRPr="00F1745D">
        <w:rPr>
          <w:lang w:val="en-GB"/>
        </w:rPr>
        <w:t xml:space="preserve">Since PDSCH type B is more suitable for </w:t>
      </w:r>
      <w:proofErr w:type="spellStart"/>
      <w:r w:rsidRPr="00F1745D">
        <w:rPr>
          <w:lang w:val="en-GB"/>
        </w:rPr>
        <w:t>eURLLC</w:t>
      </w:r>
      <w:proofErr w:type="spellEnd"/>
      <w:r w:rsidRPr="00F1745D">
        <w:rPr>
          <w:lang w:val="en-GB"/>
        </w:rPr>
        <w:t xml:space="preserve">, the number of PUCCHs for </w:t>
      </w:r>
      <w:proofErr w:type="spellStart"/>
      <w:r w:rsidRPr="00F1745D">
        <w:rPr>
          <w:lang w:val="en-GB"/>
        </w:rPr>
        <w:t>eURLLC</w:t>
      </w:r>
      <w:proofErr w:type="spellEnd"/>
      <w:r w:rsidRPr="00F1745D">
        <w:rPr>
          <w:lang w:val="en-GB"/>
        </w:rPr>
        <w:t xml:space="preserve"> HARQ-ACK reporting could be selected from {2,4,7}. </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510AC069" w14:textId="77777777" w:rsidR="00336027" w:rsidRDefault="00336027" w:rsidP="00336027">
      <w:pPr>
        <w:jc w:val="both"/>
        <w:rPr>
          <w:lang w:val="en-GB"/>
        </w:rPr>
      </w:pPr>
      <w:r w:rsidRPr="00276E80">
        <w:rPr>
          <w:b/>
          <w:lang w:val="en-GB"/>
        </w:rPr>
        <w:t xml:space="preserve">Proposal 1: </w:t>
      </w:r>
      <w:r>
        <w:rPr>
          <w:b/>
          <w:lang w:val="en-GB"/>
        </w:rPr>
        <w:t xml:space="preserve">For Rel. 16 </w:t>
      </w:r>
      <w:proofErr w:type="spellStart"/>
      <w:r>
        <w:rPr>
          <w:b/>
          <w:lang w:val="en-GB"/>
        </w:rPr>
        <w:t>eURLLC</w:t>
      </w:r>
      <w:proofErr w:type="spellEnd"/>
      <w:r>
        <w:rPr>
          <w:b/>
          <w:lang w:val="en-GB"/>
        </w:rPr>
        <w:t xml:space="preserve"> HARQ-ACK reporting with X PUCCHs per slot, semi-statically, split</w:t>
      </w:r>
      <w:r w:rsidRPr="004A4DB1">
        <w:rPr>
          <w:b/>
          <w:lang w:val="en-GB"/>
        </w:rPr>
        <w:t xml:space="preserve"> each slot into X “virtual” sub-slot</w:t>
      </w:r>
      <w:r>
        <w:rPr>
          <w:b/>
          <w:lang w:val="en-GB"/>
        </w:rPr>
        <w:t>s</w:t>
      </w:r>
      <w:r>
        <w:rPr>
          <w:lang w:val="en-GB"/>
        </w:rPr>
        <w:t>.</w:t>
      </w:r>
      <w:r w:rsidRPr="004A4DB1">
        <w:rPr>
          <w:lang w:val="en-GB"/>
        </w:rPr>
        <w:t xml:space="preserve"> </w:t>
      </w:r>
    </w:p>
    <w:p w14:paraId="24845AA2" w14:textId="77777777" w:rsidR="00336027" w:rsidRPr="004A4DB1" w:rsidRDefault="00336027" w:rsidP="00336027">
      <w:pPr>
        <w:jc w:val="both"/>
        <w:rPr>
          <w:b/>
          <w:lang w:val="en-GB"/>
        </w:rPr>
      </w:pPr>
      <w:r w:rsidRPr="004A4DB1">
        <w:rPr>
          <w:b/>
          <w:lang w:val="en-GB"/>
        </w:rPr>
        <w:t xml:space="preserve">Proposal 2: When the </w:t>
      </w:r>
      <w:proofErr w:type="spellStart"/>
      <w:r w:rsidRPr="004A4DB1">
        <w:rPr>
          <w:b/>
          <w:lang w:val="en-GB"/>
        </w:rPr>
        <w:t>subslots</w:t>
      </w:r>
      <w:proofErr w:type="spellEnd"/>
      <w:r w:rsidRPr="004A4DB1">
        <w:rPr>
          <w:b/>
          <w:lang w:val="en-GB"/>
        </w:rPr>
        <w:t xml:space="preserve"> are configured, </w:t>
      </w:r>
      <w:r>
        <w:rPr>
          <w:b/>
          <w:lang w:val="en-GB"/>
        </w:rPr>
        <w:t>the UE assumes</w:t>
      </w:r>
      <w:r w:rsidRPr="004A4DB1">
        <w:rPr>
          <w:b/>
          <w:lang w:val="en-GB"/>
        </w:rPr>
        <w:t>:</w:t>
      </w:r>
    </w:p>
    <w:p w14:paraId="0495AE34" w14:textId="77777777" w:rsidR="00336027" w:rsidRPr="004A4DB1" w:rsidRDefault="00336027" w:rsidP="00336027">
      <w:pPr>
        <w:pStyle w:val="ListParagraph"/>
        <w:numPr>
          <w:ilvl w:val="0"/>
          <w:numId w:val="17"/>
        </w:numPr>
        <w:spacing w:after="160" w:line="259" w:lineRule="auto"/>
        <w:contextualSpacing/>
        <w:jc w:val="both"/>
        <w:rPr>
          <w:rFonts w:ascii="Times New Roman" w:hAnsi="Times New Roman"/>
          <w:b/>
          <w:sz w:val="20"/>
          <w:lang w:val="en-GB"/>
        </w:rPr>
      </w:pPr>
      <w:r w:rsidRPr="004A4DB1">
        <w:rPr>
          <w:rFonts w:ascii="Times New Roman" w:hAnsi="Times New Roman"/>
          <w:b/>
          <w:sz w:val="20"/>
          <w:lang w:val="en-GB"/>
        </w:rPr>
        <w:t>PDSCH j is in sub-slot k if its last symbol is in sub-slot k</w:t>
      </w:r>
    </w:p>
    <w:p w14:paraId="7D48C0F3" w14:textId="77777777" w:rsidR="00336027" w:rsidRPr="004A4DB1" w:rsidRDefault="00336027" w:rsidP="00336027">
      <w:pPr>
        <w:pStyle w:val="ListParagraph"/>
        <w:numPr>
          <w:ilvl w:val="0"/>
          <w:numId w:val="17"/>
        </w:numPr>
        <w:spacing w:after="160" w:line="259" w:lineRule="auto"/>
        <w:contextualSpacing/>
        <w:jc w:val="both"/>
        <w:rPr>
          <w:rFonts w:ascii="Times New Roman" w:hAnsi="Times New Roman"/>
          <w:b/>
          <w:sz w:val="20"/>
          <w:lang w:val="en-GB"/>
        </w:rPr>
      </w:pPr>
      <w:r w:rsidRPr="004A4DB1">
        <w:rPr>
          <w:rFonts w:ascii="Times New Roman" w:hAnsi="Times New Roman"/>
          <w:b/>
          <w:sz w:val="20"/>
          <w:lang w:val="en-GB"/>
        </w:rPr>
        <w:t>PUCCH j is in sub-slot k if its starting symbol is in sub-slot k</w:t>
      </w:r>
    </w:p>
    <w:p w14:paraId="2C6EEB5F" w14:textId="77777777" w:rsidR="004A4DB1" w:rsidRPr="004A4DB1" w:rsidRDefault="004A4DB1" w:rsidP="004A4DB1">
      <w:pPr>
        <w:spacing w:after="160" w:line="259" w:lineRule="auto"/>
        <w:contextualSpacing/>
        <w:jc w:val="both"/>
        <w:rPr>
          <w:b/>
          <w:lang w:val="en-GB"/>
        </w:rPr>
      </w:pPr>
      <w:r w:rsidRPr="004A4DB1">
        <w:rPr>
          <w:b/>
          <w:lang w:val="en-GB"/>
        </w:rPr>
        <w:t xml:space="preserve">Proposal 3: K1 for </w:t>
      </w:r>
      <w:proofErr w:type="spellStart"/>
      <w:r w:rsidRPr="004A4DB1">
        <w:rPr>
          <w:b/>
          <w:lang w:val="en-GB"/>
        </w:rPr>
        <w:t>eURLLC</w:t>
      </w:r>
      <w:proofErr w:type="spellEnd"/>
      <w:r w:rsidRPr="004A4DB1">
        <w:rPr>
          <w:b/>
          <w:lang w:val="en-GB"/>
        </w:rPr>
        <w:t xml:space="preserve"> HARQ-ACK reporting is indicated in the unit of mini-slot.</w:t>
      </w:r>
    </w:p>
    <w:p w14:paraId="3B0FAB91" w14:textId="77777777" w:rsidR="004A4DB1" w:rsidRPr="004A4DB1" w:rsidRDefault="004A4DB1" w:rsidP="004A4DB1">
      <w:pPr>
        <w:jc w:val="both"/>
        <w:rPr>
          <w:b/>
          <w:lang w:val="en-GB"/>
        </w:rPr>
      </w:pPr>
      <w:r w:rsidRPr="004A4DB1">
        <w:rPr>
          <w:b/>
          <w:lang w:val="en-GB"/>
        </w:rPr>
        <w:t xml:space="preserve">Proposal 4: Support PHY-layer differentiation between PDSCH and PUCCH </w:t>
      </w:r>
      <w:r>
        <w:rPr>
          <w:b/>
          <w:lang w:val="en-GB"/>
        </w:rPr>
        <w:t xml:space="preserve">associated with different </w:t>
      </w:r>
      <w:r w:rsidRPr="004A4DB1">
        <w:rPr>
          <w:b/>
          <w:lang w:val="en-GB"/>
        </w:rPr>
        <w:t>traffic types</w:t>
      </w:r>
      <w:r>
        <w:rPr>
          <w:b/>
          <w:lang w:val="en-GB"/>
        </w:rPr>
        <w:t>.</w:t>
      </w:r>
      <w:r w:rsidRPr="004A4DB1">
        <w:rPr>
          <w:b/>
          <w:lang w:val="en-GB"/>
        </w:rPr>
        <w:t xml:space="preserve"> </w:t>
      </w:r>
    </w:p>
    <w:p w14:paraId="4445DBCB" w14:textId="77777777" w:rsidR="00423748" w:rsidRPr="004A4DB1" w:rsidRDefault="00423748" w:rsidP="00423748">
      <w:pPr>
        <w:spacing w:after="160" w:line="259" w:lineRule="auto"/>
        <w:contextualSpacing/>
        <w:jc w:val="both"/>
        <w:rPr>
          <w:b/>
          <w:lang w:val="en-GB"/>
        </w:rPr>
      </w:pPr>
      <w:r>
        <w:rPr>
          <w:b/>
          <w:lang w:val="en-GB"/>
        </w:rPr>
        <w:t>Proposal 5</w:t>
      </w:r>
      <w:r w:rsidRPr="004A4DB1">
        <w:rPr>
          <w:b/>
          <w:lang w:val="en-GB"/>
        </w:rPr>
        <w:t xml:space="preserve">: For </w:t>
      </w:r>
      <w:r>
        <w:rPr>
          <w:b/>
          <w:lang w:val="en-GB"/>
        </w:rPr>
        <w:t xml:space="preserve">the </w:t>
      </w:r>
      <w:r w:rsidRPr="004A4DB1">
        <w:rPr>
          <w:b/>
          <w:lang w:val="en-GB"/>
        </w:rPr>
        <w:t xml:space="preserve">type-1 codebook size determination, follow the NR Rel. 15 approach for PUCCH transmission carrying HARQ-ACK in a given </w:t>
      </w:r>
      <w:proofErr w:type="spellStart"/>
      <w:r w:rsidRPr="004A4DB1">
        <w:rPr>
          <w:b/>
          <w:lang w:val="en-GB"/>
        </w:rPr>
        <w:t>subslot</w:t>
      </w:r>
      <w:proofErr w:type="spellEnd"/>
      <w:r w:rsidRPr="004A4DB1">
        <w:rPr>
          <w:b/>
          <w:lang w:val="en-GB"/>
        </w:rPr>
        <w:t>.</w:t>
      </w:r>
    </w:p>
    <w:p w14:paraId="2CABA445" w14:textId="77777777" w:rsidR="004A4DB1" w:rsidRPr="004A4DB1" w:rsidRDefault="004A4DB1" w:rsidP="004A4DB1">
      <w:pPr>
        <w:spacing w:after="160" w:line="259" w:lineRule="auto"/>
        <w:contextualSpacing/>
        <w:jc w:val="both"/>
        <w:rPr>
          <w:b/>
          <w:lang w:val="en-GB"/>
        </w:rPr>
      </w:pPr>
    </w:p>
    <w:p w14:paraId="4BDB618E" w14:textId="77777777" w:rsidR="004A4DB1" w:rsidRPr="004A4DB1" w:rsidRDefault="004A4DB1" w:rsidP="004A4DB1">
      <w:pPr>
        <w:spacing w:after="160" w:line="259" w:lineRule="auto"/>
        <w:contextualSpacing/>
        <w:jc w:val="both"/>
        <w:rPr>
          <w:b/>
          <w:lang w:val="en-GB"/>
        </w:rPr>
      </w:pPr>
      <w:r>
        <w:rPr>
          <w:b/>
          <w:lang w:val="en-GB"/>
        </w:rPr>
        <w:t>Proposal 6: For type-2</w:t>
      </w:r>
      <w:r w:rsidRPr="004A4DB1">
        <w:rPr>
          <w:b/>
          <w:lang w:val="en-GB"/>
        </w:rPr>
        <w:t xml:space="preserve"> codebook size determination, follow the NR Rel. 15 approach for PUCCH transmission carrying HARQ-ACK in a given </w:t>
      </w:r>
      <w:proofErr w:type="spellStart"/>
      <w:r w:rsidRPr="004A4DB1">
        <w:rPr>
          <w:b/>
          <w:lang w:val="en-GB"/>
        </w:rPr>
        <w:t>subslot</w:t>
      </w:r>
      <w:proofErr w:type="spellEnd"/>
      <w:r w:rsidRPr="004A4DB1">
        <w:rPr>
          <w:b/>
          <w:lang w:val="en-GB"/>
        </w:rPr>
        <w:t>.</w:t>
      </w:r>
    </w:p>
    <w:p w14:paraId="4EF48B8E" w14:textId="19879674" w:rsidR="00BD3E47" w:rsidRPr="0006064F" w:rsidRDefault="00BD3E47" w:rsidP="00743FAD">
      <w:pPr>
        <w:jc w:val="both"/>
        <w:rPr>
          <w:b/>
          <w:lang w:val="en-GB"/>
        </w:rPr>
      </w:pPr>
    </w:p>
    <w:p w14:paraId="23B2FB0A" w14:textId="24556F73" w:rsidR="0006064F" w:rsidRDefault="0006064F" w:rsidP="00743FAD">
      <w:pPr>
        <w:jc w:val="both"/>
        <w:rPr>
          <w:b/>
          <w:sz w:val="22"/>
          <w:szCs w:val="24"/>
          <w:lang w:val="en-GB"/>
        </w:rPr>
      </w:pPr>
    </w:p>
    <w:p w14:paraId="7CA15252" w14:textId="53E01D8B" w:rsidR="0006064F" w:rsidRDefault="0006064F" w:rsidP="00743FAD">
      <w:pPr>
        <w:jc w:val="both"/>
        <w:rPr>
          <w:b/>
          <w:sz w:val="22"/>
          <w:szCs w:val="24"/>
          <w:lang w:val="en-GB"/>
        </w:rPr>
      </w:pPr>
    </w:p>
    <w:p w14:paraId="57DA4891" w14:textId="6C1ED22B" w:rsidR="0006064F" w:rsidRDefault="0006064F" w:rsidP="00743FAD">
      <w:pPr>
        <w:jc w:val="both"/>
        <w:rPr>
          <w:b/>
          <w:sz w:val="22"/>
          <w:szCs w:val="24"/>
          <w:lang w:val="en-GB"/>
        </w:rPr>
      </w:pPr>
    </w:p>
    <w:p w14:paraId="7571A03F" w14:textId="231D8EFE" w:rsidR="0006064F" w:rsidRDefault="0006064F" w:rsidP="00743FAD">
      <w:pPr>
        <w:jc w:val="both"/>
        <w:rPr>
          <w:b/>
          <w:sz w:val="22"/>
          <w:szCs w:val="24"/>
          <w:lang w:val="en-GB"/>
        </w:rPr>
      </w:pPr>
    </w:p>
    <w:sectPr w:rsidR="0006064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74F90" w14:textId="77777777" w:rsidR="00F237B9" w:rsidRDefault="00F237B9">
      <w:r>
        <w:separator/>
      </w:r>
    </w:p>
  </w:endnote>
  <w:endnote w:type="continuationSeparator" w:id="0">
    <w:p w14:paraId="61489C6F" w14:textId="77777777" w:rsidR="00F237B9" w:rsidRDefault="00F237B9">
      <w:r>
        <w:continuationSeparator/>
      </w:r>
    </w:p>
  </w:endnote>
  <w:endnote w:type="continuationNotice" w:id="1">
    <w:p w14:paraId="3BB50780" w14:textId="77777777" w:rsidR="00F237B9" w:rsidRDefault="00F23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40E67" w14:textId="77777777" w:rsidR="00F237B9" w:rsidRDefault="00F237B9">
      <w:r>
        <w:separator/>
      </w:r>
    </w:p>
  </w:footnote>
  <w:footnote w:type="continuationSeparator" w:id="0">
    <w:p w14:paraId="52EB1445" w14:textId="77777777" w:rsidR="00F237B9" w:rsidRDefault="00F237B9">
      <w:r>
        <w:continuationSeparator/>
      </w:r>
    </w:p>
  </w:footnote>
  <w:footnote w:type="continuationNotice" w:id="1">
    <w:p w14:paraId="78B3B2B5" w14:textId="77777777" w:rsidR="00F237B9" w:rsidRDefault="00F23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FC3653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C076D6"/>
    <w:multiLevelType w:val="hybridMultilevel"/>
    <w:tmpl w:val="8F649300"/>
    <w:lvl w:ilvl="0" w:tplc="127A2632">
      <w:start w:val="1"/>
      <w:numFmt w:val="bullet"/>
      <w:lvlText w:val=""/>
      <w:lvlJc w:val="left"/>
      <w:pPr>
        <w:tabs>
          <w:tab w:val="num" w:pos="720"/>
        </w:tabs>
        <w:ind w:left="720" w:hanging="360"/>
      </w:pPr>
      <w:rPr>
        <w:rFonts w:ascii="Symbol" w:hAnsi="Symbol" w:hint="default"/>
      </w:rPr>
    </w:lvl>
    <w:lvl w:ilvl="1" w:tplc="B9125FC0">
      <w:start w:val="274"/>
      <w:numFmt w:val="bullet"/>
      <w:lvlText w:val="−"/>
      <w:lvlJc w:val="left"/>
      <w:pPr>
        <w:tabs>
          <w:tab w:val="num" w:pos="1440"/>
        </w:tabs>
        <w:ind w:left="1440" w:hanging="360"/>
      </w:pPr>
      <w:rPr>
        <w:rFonts w:ascii="Calibre Regular" w:hAnsi="Calibre Regular" w:hint="default"/>
      </w:rPr>
    </w:lvl>
    <w:lvl w:ilvl="2" w:tplc="D692365A" w:tentative="1">
      <w:start w:val="1"/>
      <w:numFmt w:val="bullet"/>
      <w:lvlText w:val=""/>
      <w:lvlJc w:val="left"/>
      <w:pPr>
        <w:tabs>
          <w:tab w:val="num" w:pos="2160"/>
        </w:tabs>
        <w:ind w:left="2160" w:hanging="360"/>
      </w:pPr>
      <w:rPr>
        <w:rFonts w:ascii="Symbol" w:hAnsi="Symbol" w:hint="default"/>
      </w:rPr>
    </w:lvl>
    <w:lvl w:ilvl="3" w:tplc="7CF410E4" w:tentative="1">
      <w:start w:val="1"/>
      <w:numFmt w:val="bullet"/>
      <w:lvlText w:val=""/>
      <w:lvlJc w:val="left"/>
      <w:pPr>
        <w:tabs>
          <w:tab w:val="num" w:pos="2880"/>
        </w:tabs>
        <w:ind w:left="2880" w:hanging="360"/>
      </w:pPr>
      <w:rPr>
        <w:rFonts w:ascii="Symbol" w:hAnsi="Symbol" w:hint="default"/>
      </w:rPr>
    </w:lvl>
    <w:lvl w:ilvl="4" w:tplc="3B9C4F06" w:tentative="1">
      <w:start w:val="1"/>
      <w:numFmt w:val="bullet"/>
      <w:lvlText w:val=""/>
      <w:lvlJc w:val="left"/>
      <w:pPr>
        <w:tabs>
          <w:tab w:val="num" w:pos="3600"/>
        </w:tabs>
        <w:ind w:left="3600" w:hanging="360"/>
      </w:pPr>
      <w:rPr>
        <w:rFonts w:ascii="Symbol" w:hAnsi="Symbol" w:hint="default"/>
      </w:rPr>
    </w:lvl>
    <w:lvl w:ilvl="5" w:tplc="F7E486BA" w:tentative="1">
      <w:start w:val="1"/>
      <w:numFmt w:val="bullet"/>
      <w:lvlText w:val=""/>
      <w:lvlJc w:val="left"/>
      <w:pPr>
        <w:tabs>
          <w:tab w:val="num" w:pos="4320"/>
        </w:tabs>
        <w:ind w:left="4320" w:hanging="360"/>
      </w:pPr>
      <w:rPr>
        <w:rFonts w:ascii="Symbol" w:hAnsi="Symbol" w:hint="default"/>
      </w:rPr>
    </w:lvl>
    <w:lvl w:ilvl="6" w:tplc="228CB122" w:tentative="1">
      <w:start w:val="1"/>
      <w:numFmt w:val="bullet"/>
      <w:lvlText w:val=""/>
      <w:lvlJc w:val="left"/>
      <w:pPr>
        <w:tabs>
          <w:tab w:val="num" w:pos="5040"/>
        </w:tabs>
        <w:ind w:left="5040" w:hanging="360"/>
      </w:pPr>
      <w:rPr>
        <w:rFonts w:ascii="Symbol" w:hAnsi="Symbol" w:hint="default"/>
      </w:rPr>
    </w:lvl>
    <w:lvl w:ilvl="7" w:tplc="D64A6720" w:tentative="1">
      <w:start w:val="1"/>
      <w:numFmt w:val="bullet"/>
      <w:lvlText w:val=""/>
      <w:lvlJc w:val="left"/>
      <w:pPr>
        <w:tabs>
          <w:tab w:val="num" w:pos="5760"/>
        </w:tabs>
        <w:ind w:left="5760" w:hanging="360"/>
      </w:pPr>
      <w:rPr>
        <w:rFonts w:ascii="Symbol" w:hAnsi="Symbol" w:hint="default"/>
      </w:rPr>
    </w:lvl>
    <w:lvl w:ilvl="8" w:tplc="D1F059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60F0D"/>
    <w:multiLevelType w:val="hybridMultilevel"/>
    <w:tmpl w:val="362CA88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86F64"/>
    <w:multiLevelType w:val="hybridMultilevel"/>
    <w:tmpl w:val="C0842688"/>
    <w:lvl w:ilvl="0" w:tplc="0409000F">
      <w:start w:val="1"/>
      <w:numFmt w:val="decimal"/>
      <w:lvlText w:val="%1."/>
      <w:lvlJc w:val="left"/>
      <w:pPr>
        <w:ind w:left="648" w:hanging="360"/>
      </w:pPr>
    </w:lvl>
    <w:lvl w:ilvl="1" w:tplc="04090001">
      <w:start w:val="1"/>
      <w:numFmt w:val="bullet"/>
      <w:lvlText w:val=""/>
      <w:lvlJc w:val="left"/>
      <w:pPr>
        <w:ind w:left="1368" w:hanging="360"/>
      </w:pPr>
      <w:rPr>
        <w:rFonts w:ascii="Symbol" w:hAnsi="Symbol" w:hint="default"/>
      </w:r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532E46"/>
    <w:multiLevelType w:val="hybridMultilevel"/>
    <w:tmpl w:val="6BD0A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F40B6E"/>
    <w:multiLevelType w:val="hybridMultilevel"/>
    <w:tmpl w:val="3AB6A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65680"/>
    <w:multiLevelType w:val="hybridMultilevel"/>
    <w:tmpl w:val="1DB623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02680"/>
    <w:multiLevelType w:val="hybridMultilevel"/>
    <w:tmpl w:val="74985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97667"/>
    <w:multiLevelType w:val="hybridMultilevel"/>
    <w:tmpl w:val="5DD66268"/>
    <w:lvl w:ilvl="0" w:tplc="CBB8CF5A">
      <w:start w:val="1"/>
      <w:numFmt w:val="bullet"/>
      <w:lvlText w:val=""/>
      <w:lvlJc w:val="left"/>
      <w:pPr>
        <w:tabs>
          <w:tab w:val="num" w:pos="720"/>
        </w:tabs>
        <w:ind w:left="720" w:hanging="360"/>
      </w:pPr>
      <w:rPr>
        <w:rFonts w:ascii="Symbol" w:hAnsi="Symbol" w:hint="default"/>
      </w:rPr>
    </w:lvl>
    <w:lvl w:ilvl="1" w:tplc="4830B9E8">
      <w:start w:val="274"/>
      <w:numFmt w:val="bullet"/>
      <w:lvlText w:val="−"/>
      <w:lvlJc w:val="left"/>
      <w:pPr>
        <w:tabs>
          <w:tab w:val="num" w:pos="1440"/>
        </w:tabs>
        <w:ind w:left="1440" w:hanging="360"/>
      </w:pPr>
      <w:rPr>
        <w:rFonts w:ascii="Calibre Regular" w:hAnsi="Calibre Regular" w:hint="default"/>
      </w:rPr>
    </w:lvl>
    <w:lvl w:ilvl="2" w:tplc="7092F328" w:tentative="1">
      <w:start w:val="1"/>
      <w:numFmt w:val="bullet"/>
      <w:lvlText w:val=""/>
      <w:lvlJc w:val="left"/>
      <w:pPr>
        <w:tabs>
          <w:tab w:val="num" w:pos="2160"/>
        </w:tabs>
        <w:ind w:left="2160" w:hanging="360"/>
      </w:pPr>
      <w:rPr>
        <w:rFonts w:ascii="Symbol" w:hAnsi="Symbol" w:hint="default"/>
      </w:rPr>
    </w:lvl>
    <w:lvl w:ilvl="3" w:tplc="CBA02D0A" w:tentative="1">
      <w:start w:val="1"/>
      <w:numFmt w:val="bullet"/>
      <w:lvlText w:val=""/>
      <w:lvlJc w:val="left"/>
      <w:pPr>
        <w:tabs>
          <w:tab w:val="num" w:pos="2880"/>
        </w:tabs>
        <w:ind w:left="2880" w:hanging="360"/>
      </w:pPr>
      <w:rPr>
        <w:rFonts w:ascii="Symbol" w:hAnsi="Symbol" w:hint="default"/>
      </w:rPr>
    </w:lvl>
    <w:lvl w:ilvl="4" w:tplc="3F2A86C2" w:tentative="1">
      <w:start w:val="1"/>
      <w:numFmt w:val="bullet"/>
      <w:lvlText w:val=""/>
      <w:lvlJc w:val="left"/>
      <w:pPr>
        <w:tabs>
          <w:tab w:val="num" w:pos="3600"/>
        </w:tabs>
        <w:ind w:left="3600" w:hanging="360"/>
      </w:pPr>
      <w:rPr>
        <w:rFonts w:ascii="Symbol" w:hAnsi="Symbol" w:hint="default"/>
      </w:rPr>
    </w:lvl>
    <w:lvl w:ilvl="5" w:tplc="44C0002A" w:tentative="1">
      <w:start w:val="1"/>
      <w:numFmt w:val="bullet"/>
      <w:lvlText w:val=""/>
      <w:lvlJc w:val="left"/>
      <w:pPr>
        <w:tabs>
          <w:tab w:val="num" w:pos="4320"/>
        </w:tabs>
        <w:ind w:left="4320" w:hanging="360"/>
      </w:pPr>
      <w:rPr>
        <w:rFonts w:ascii="Symbol" w:hAnsi="Symbol" w:hint="default"/>
      </w:rPr>
    </w:lvl>
    <w:lvl w:ilvl="6" w:tplc="C4406AEC" w:tentative="1">
      <w:start w:val="1"/>
      <w:numFmt w:val="bullet"/>
      <w:lvlText w:val=""/>
      <w:lvlJc w:val="left"/>
      <w:pPr>
        <w:tabs>
          <w:tab w:val="num" w:pos="5040"/>
        </w:tabs>
        <w:ind w:left="5040" w:hanging="360"/>
      </w:pPr>
      <w:rPr>
        <w:rFonts w:ascii="Symbol" w:hAnsi="Symbol" w:hint="default"/>
      </w:rPr>
    </w:lvl>
    <w:lvl w:ilvl="7" w:tplc="808C087C" w:tentative="1">
      <w:start w:val="1"/>
      <w:numFmt w:val="bullet"/>
      <w:lvlText w:val=""/>
      <w:lvlJc w:val="left"/>
      <w:pPr>
        <w:tabs>
          <w:tab w:val="num" w:pos="5760"/>
        </w:tabs>
        <w:ind w:left="5760" w:hanging="360"/>
      </w:pPr>
      <w:rPr>
        <w:rFonts w:ascii="Symbol" w:hAnsi="Symbol" w:hint="default"/>
      </w:rPr>
    </w:lvl>
    <w:lvl w:ilvl="8" w:tplc="D1C029F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1536BC2"/>
    <w:multiLevelType w:val="hybridMultilevel"/>
    <w:tmpl w:val="9738B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7"/>
  </w:num>
  <w:num w:numId="2">
    <w:abstractNumId w:val="2"/>
  </w:num>
  <w:num w:numId="3">
    <w:abstractNumId w:val="10"/>
    <w:lvlOverride w:ilvl="0">
      <w:startOverride w:val="1"/>
    </w:lvlOverride>
  </w:num>
  <w:num w:numId="4">
    <w:abstractNumId w:val="0"/>
  </w:num>
  <w:num w:numId="5">
    <w:abstractNumId w:val="4"/>
  </w:num>
  <w:num w:numId="6">
    <w:abstractNumId w:val="18"/>
  </w:num>
  <w:num w:numId="7">
    <w:abstractNumId w:val="9"/>
  </w:num>
  <w:num w:numId="8">
    <w:abstractNumId w:val="19"/>
  </w:num>
  <w:num w:numId="9">
    <w:abstractNumId w:val="1"/>
  </w:num>
  <w:num w:numId="10">
    <w:abstractNumId w:val="8"/>
  </w:num>
  <w:num w:numId="11">
    <w:abstractNumId w:val="14"/>
  </w:num>
  <w:num w:numId="12">
    <w:abstractNumId w:val="3"/>
  </w:num>
  <w:num w:numId="13">
    <w:abstractNumId w:val="16"/>
  </w:num>
  <w:num w:numId="14">
    <w:abstractNumId w:val="11"/>
  </w:num>
  <w:num w:numId="15">
    <w:abstractNumId w:val="5"/>
  </w:num>
  <w:num w:numId="16">
    <w:abstractNumId w:val="13"/>
  </w:num>
  <w:num w:numId="17">
    <w:abstractNumId w:val="15"/>
  </w:num>
  <w:num w:numId="18">
    <w:abstractNumId w:val="17"/>
  </w:num>
  <w:num w:numId="19">
    <w:abstractNumId w:val="12"/>
  </w:num>
  <w:num w:numId="2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399"/>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B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256"/>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987"/>
    <w:rsid w:val="00194955"/>
    <w:rsid w:val="0019573B"/>
    <w:rsid w:val="0019592C"/>
    <w:rsid w:val="00196085"/>
    <w:rsid w:val="0019617D"/>
    <w:rsid w:val="00196700"/>
    <w:rsid w:val="00196B90"/>
    <w:rsid w:val="00196DE8"/>
    <w:rsid w:val="00196FF4"/>
    <w:rsid w:val="0019734F"/>
    <w:rsid w:val="00197D98"/>
    <w:rsid w:val="001A0303"/>
    <w:rsid w:val="001A0676"/>
    <w:rsid w:val="001A067A"/>
    <w:rsid w:val="001A06C8"/>
    <w:rsid w:val="001A1337"/>
    <w:rsid w:val="001A15E4"/>
    <w:rsid w:val="001A2939"/>
    <w:rsid w:val="001A2A71"/>
    <w:rsid w:val="001A2FD5"/>
    <w:rsid w:val="001A3037"/>
    <w:rsid w:val="001A30FB"/>
    <w:rsid w:val="001A36CF"/>
    <w:rsid w:val="001A3974"/>
    <w:rsid w:val="001A3F0F"/>
    <w:rsid w:val="001A3FA5"/>
    <w:rsid w:val="001A4EDF"/>
    <w:rsid w:val="001A586A"/>
    <w:rsid w:val="001A5C15"/>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73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E80"/>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027"/>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02D"/>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369"/>
    <w:rsid w:val="0040041A"/>
    <w:rsid w:val="00400427"/>
    <w:rsid w:val="00400615"/>
    <w:rsid w:val="00400D86"/>
    <w:rsid w:val="004010EF"/>
    <w:rsid w:val="004017C6"/>
    <w:rsid w:val="00401EE0"/>
    <w:rsid w:val="00401EE4"/>
    <w:rsid w:val="004021B5"/>
    <w:rsid w:val="004022A2"/>
    <w:rsid w:val="004024AB"/>
    <w:rsid w:val="00402DC4"/>
    <w:rsid w:val="00402E3D"/>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3748"/>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BC8"/>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DB1"/>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D36"/>
    <w:rsid w:val="004C1EF6"/>
    <w:rsid w:val="004C2371"/>
    <w:rsid w:val="004C2770"/>
    <w:rsid w:val="004C2F01"/>
    <w:rsid w:val="004C3472"/>
    <w:rsid w:val="004C34E8"/>
    <w:rsid w:val="004C35B4"/>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0BC"/>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A3A"/>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3BB"/>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1D19"/>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A73"/>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1BF2"/>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F02"/>
    <w:rsid w:val="008D508F"/>
    <w:rsid w:val="008D538D"/>
    <w:rsid w:val="008D5879"/>
    <w:rsid w:val="008D58F4"/>
    <w:rsid w:val="008D592F"/>
    <w:rsid w:val="008D5FCD"/>
    <w:rsid w:val="008D6255"/>
    <w:rsid w:val="008D65B3"/>
    <w:rsid w:val="008D6733"/>
    <w:rsid w:val="008D6BDB"/>
    <w:rsid w:val="008D6F90"/>
    <w:rsid w:val="008D72BB"/>
    <w:rsid w:val="008D73A4"/>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071"/>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141"/>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D59"/>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4D3"/>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4E8"/>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7F"/>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04E"/>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9F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A3D"/>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DEB"/>
    <w:rsid w:val="00B70EDB"/>
    <w:rsid w:val="00B71A5D"/>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3C2"/>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7B3"/>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CBA"/>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8BC"/>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1F46"/>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08"/>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2"/>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5E55"/>
    <w:rsid w:val="00F1604E"/>
    <w:rsid w:val="00F165FF"/>
    <w:rsid w:val="00F16BB1"/>
    <w:rsid w:val="00F1745D"/>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7B9"/>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70999">
      <w:bodyDiv w:val="1"/>
      <w:marLeft w:val="0"/>
      <w:marRight w:val="0"/>
      <w:marTop w:val="0"/>
      <w:marBottom w:val="0"/>
      <w:divBdr>
        <w:top w:val="none" w:sz="0" w:space="0" w:color="auto"/>
        <w:left w:val="none" w:sz="0" w:space="0" w:color="auto"/>
        <w:bottom w:val="none" w:sz="0" w:space="0" w:color="auto"/>
        <w:right w:val="none" w:sz="0" w:space="0" w:color="auto"/>
      </w:divBdr>
      <w:divsChild>
        <w:div w:id="18971179">
          <w:marLeft w:val="547"/>
          <w:marRight w:val="0"/>
          <w:marTop w:val="115"/>
          <w:marBottom w:val="0"/>
          <w:divBdr>
            <w:top w:val="none" w:sz="0" w:space="0" w:color="auto"/>
            <w:left w:val="none" w:sz="0" w:space="0" w:color="auto"/>
            <w:bottom w:val="none" w:sz="0" w:space="0" w:color="auto"/>
            <w:right w:val="none" w:sz="0" w:space="0" w:color="auto"/>
          </w:divBdr>
        </w:div>
        <w:div w:id="772089537">
          <w:marLeft w:val="1166"/>
          <w:marRight w:val="0"/>
          <w:marTop w:val="96"/>
          <w:marBottom w:val="0"/>
          <w:divBdr>
            <w:top w:val="none" w:sz="0" w:space="0" w:color="auto"/>
            <w:left w:val="none" w:sz="0" w:space="0" w:color="auto"/>
            <w:bottom w:val="none" w:sz="0" w:space="0" w:color="auto"/>
            <w:right w:val="none" w:sz="0" w:space="0" w:color="auto"/>
          </w:divBdr>
        </w:div>
        <w:div w:id="1482041389">
          <w:marLeft w:val="547"/>
          <w:marRight w:val="0"/>
          <w:marTop w:val="115"/>
          <w:marBottom w:val="0"/>
          <w:divBdr>
            <w:top w:val="none" w:sz="0" w:space="0" w:color="auto"/>
            <w:left w:val="none" w:sz="0" w:space="0" w:color="auto"/>
            <w:bottom w:val="none" w:sz="0" w:space="0" w:color="auto"/>
            <w:right w:val="none" w:sz="0" w:space="0" w:color="auto"/>
          </w:divBdr>
        </w:div>
        <w:div w:id="992097705">
          <w:marLeft w:val="1166"/>
          <w:marRight w:val="0"/>
          <w:marTop w:val="96"/>
          <w:marBottom w:val="0"/>
          <w:divBdr>
            <w:top w:val="none" w:sz="0" w:space="0" w:color="auto"/>
            <w:left w:val="none" w:sz="0" w:space="0" w:color="auto"/>
            <w:bottom w:val="none" w:sz="0" w:space="0" w:color="auto"/>
            <w:right w:val="none" w:sz="0" w:space="0" w:color="auto"/>
          </w:divBdr>
        </w:div>
        <w:div w:id="723910978">
          <w:marLeft w:val="1166"/>
          <w:marRight w:val="0"/>
          <w:marTop w:val="96"/>
          <w:marBottom w:val="0"/>
          <w:divBdr>
            <w:top w:val="none" w:sz="0" w:space="0" w:color="auto"/>
            <w:left w:val="none" w:sz="0" w:space="0" w:color="auto"/>
            <w:bottom w:val="none" w:sz="0" w:space="0" w:color="auto"/>
            <w:right w:val="none" w:sz="0" w:space="0" w:color="auto"/>
          </w:divBdr>
        </w:div>
        <w:div w:id="947734076">
          <w:marLeft w:val="1166"/>
          <w:marRight w:val="0"/>
          <w:marTop w:val="96"/>
          <w:marBottom w:val="0"/>
          <w:divBdr>
            <w:top w:val="none" w:sz="0" w:space="0" w:color="auto"/>
            <w:left w:val="none" w:sz="0" w:space="0" w:color="auto"/>
            <w:bottom w:val="none" w:sz="0" w:space="0" w:color="auto"/>
            <w:right w:val="none" w:sz="0" w:space="0" w:color="auto"/>
          </w:divBdr>
        </w:div>
        <w:div w:id="831532649">
          <w:marLeft w:val="1166"/>
          <w:marRight w:val="0"/>
          <w:marTop w:val="96"/>
          <w:marBottom w:val="0"/>
          <w:divBdr>
            <w:top w:val="none" w:sz="0" w:space="0" w:color="auto"/>
            <w:left w:val="none" w:sz="0" w:space="0" w:color="auto"/>
            <w:bottom w:val="none" w:sz="0" w:space="0" w:color="auto"/>
            <w:right w:val="none" w:sz="0" w:space="0" w:color="auto"/>
          </w:divBdr>
        </w:div>
        <w:div w:id="1936859948">
          <w:marLeft w:val="1166"/>
          <w:marRight w:val="0"/>
          <w:marTop w:val="96"/>
          <w:marBottom w:val="0"/>
          <w:divBdr>
            <w:top w:val="none" w:sz="0" w:space="0" w:color="auto"/>
            <w:left w:val="none" w:sz="0" w:space="0" w:color="auto"/>
            <w:bottom w:val="none" w:sz="0" w:space="0" w:color="auto"/>
            <w:right w:val="none" w:sz="0" w:space="0" w:color="auto"/>
          </w:divBdr>
        </w:div>
        <w:div w:id="1455713616">
          <w:marLeft w:val="1166"/>
          <w:marRight w:val="0"/>
          <w:marTop w:val="96"/>
          <w:marBottom w:val="0"/>
          <w:divBdr>
            <w:top w:val="none" w:sz="0" w:space="0" w:color="auto"/>
            <w:left w:val="none" w:sz="0" w:space="0" w:color="auto"/>
            <w:bottom w:val="none" w:sz="0" w:space="0" w:color="auto"/>
            <w:right w:val="none" w:sz="0" w:space="0" w:color="auto"/>
          </w:divBdr>
        </w:div>
        <w:div w:id="1488939700">
          <w:marLeft w:val="1166"/>
          <w:marRight w:val="0"/>
          <w:marTop w:val="96"/>
          <w:marBottom w:val="0"/>
          <w:divBdr>
            <w:top w:val="none" w:sz="0" w:space="0" w:color="auto"/>
            <w:left w:val="none" w:sz="0" w:space="0" w:color="auto"/>
            <w:bottom w:val="none" w:sz="0" w:space="0" w:color="auto"/>
            <w:right w:val="none" w:sz="0" w:space="0" w:color="auto"/>
          </w:divBdr>
        </w:div>
        <w:div w:id="987127859">
          <w:marLeft w:val="1166"/>
          <w:marRight w:val="0"/>
          <w:marTop w:val="96"/>
          <w:marBottom w:val="0"/>
          <w:divBdr>
            <w:top w:val="none" w:sz="0" w:space="0" w:color="auto"/>
            <w:left w:val="none" w:sz="0" w:space="0" w:color="auto"/>
            <w:bottom w:val="none" w:sz="0" w:space="0" w:color="auto"/>
            <w:right w:val="none" w:sz="0" w:space="0" w:color="auto"/>
          </w:divBdr>
        </w:div>
        <w:div w:id="389959528">
          <w:marLeft w:val="1166"/>
          <w:marRight w:val="0"/>
          <w:marTop w:val="96"/>
          <w:marBottom w:val="0"/>
          <w:divBdr>
            <w:top w:val="none" w:sz="0" w:space="0" w:color="auto"/>
            <w:left w:val="none" w:sz="0" w:space="0" w:color="auto"/>
            <w:bottom w:val="none" w:sz="0" w:space="0" w:color="auto"/>
            <w:right w:val="none" w:sz="0" w:space="0" w:color="auto"/>
          </w:divBdr>
        </w:div>
        <w:div w:id="715930186">
          <w:marLeft w:val="1166"/>
          <w:marRight w:val="0"/>
          <w:marTop w:val="9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HR33RHYHUWRF-4-7912</_dlc_DocId>
    <_dlc_DocIdUrl xmlns="c06861ca-3f08-4d07-bff7-bb15bac121f4">
      <Url>https://projects.qualcomm.com/sites/pentari/_layouts/15/DocIdRedir.aspx?ID=HR33RHYHUWRF-4-7912</Url>
      <Description>HR33RHYHUWRF-4-7912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5E53CF1E-E289-4EA1-8C94-7D8AF0A8C553}">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30C2B390-F565-4A11-86D7-3F290EA64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5</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2019-01-12T03:53:00Z</dcterms:created>
  <dcterms:modified xsi:type="dcterms:W3CDTF">2019-01-12T03:53:00Z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822a70d8-8702-4410-968e-dd853d633608</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